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b w:val="1"/>
          <w:sz w:val="40"/>
          <w:szCs w:val="40"/>
        </w:rPr>
      </w:pPr>
      <w:r w:rsidDel="00000000" w:rsidR="00000000" w:rsidRPr="00000000">
        <w:rPr>
          <w:rtl w:val="0"/>
        </w:rPr>
      </w:r>
    </w:p>
    <w:p w:rsidR="00000000" w:rsidDel="00000000" w:rsidP="00000000" w:rsidRDefault="00000000" w:rsidRPr="00000000" w14:paraId="00000002">
      <w:pPr>
        <w:spacing w:line="480" w:lineRule="auto"/>
        <w:jc w:val="center"/>
        <w:rPr>
          <w:b w:val="1"/>
          <w:sz w:val="40"/>
          <w:szCs w:val="40"/>
        </w:rPr>
      </w:pPr>
      <w:r w:rsidDel="00000000" w:rsidR="00000000" w:rsidRPr="00000000">
        <w:rPr>
          <w:rtl w:val="0"/>
        </w:rPr>
      </w:r>
    </w:p>
    <w:p w:rsidR="00000000" w:rsidDel="00000000" w:rsidP="00000000" w:rsidRDefault="00000000" w:rsidRPr="00000000" w14:paraId="00000003">
      <w:pPr>
        <w:spacing w:after="240" w:before="240" w:line="480" w:lineRule="auto"/>
        <w:jc w:val="center"/>
        <w:rPr>
          <w:b w:val="1"/>
          <w:sz w:val="40"/>
          <w:szCs w:val="40"/>
        </w:rPr>
      </w:pPr>
      <w:r w:rsidDel="00000000" w:rsidR="00000000" w:rsidRPr="00000000">
        <w:rPr>
          <w:b w:val="1"/>
          <w:sz w:val="40"/>
          <w:szCs w:val="40"/>
          <w:rtl w:val="0"/>
        </w:rPr>
        <w:t xml:space="preserve">PROCEDIMIENTO DE ACTUACIÓN FRENTE A CASOS DE INFECCIÓN POR EL NUEVO CORONAVIRUS (SARS-CoV-2)</w:t>
      </w:r>
    </w:p>
    <w:p w:rsidR="00000000" w:rsidDel="00000000" w:rsidP="00000000" w:rsidRDefault="00000000" w:rsidRPr="00000000" w14:paraId="00000004">
      <w:pPr>
        <w:tabs>
          <w:tab w:val="center" w:pos="4535"/>
          <w:tab w:val="left" w:pos="5067"/>
          <w:tab w:val="right" w:pos="9070"/>
        </w:tabs>
        <w:spacing w:line="480" w:lineRule="auto"/>
        <w:rPr>
          <w:b w:val="1"/>
        </w:rPr>
      </w:pPr>
      <w:r w:rsidDel="00000000" w:rsidR="00000000" w:rsidRPr="00000000">
        <w:rPr>
          <w:b w:val="1"/>
          <w:rtl w:val="0"/>
        </w:rPr>
        <w:tab/>
      </w:r>
    </w:p>
    <w:p w:rsidR="00000000" w:rsidDel="00000000" w:rsidP="00000000" w:rsidRDefault="00000000" w:rsidRPr="00000000" w14:paraId="00000005">
      <w:pPr>
        <w:tabs>
          <w:tab w:val="center" w:pos="4535"/>
          <w:tab w:val="left" w:pos="5067"/>
          <w:tab w:val="right" w:pos="9070"/>
        </w:tabs>
        <w:spacing w:line="480" w:lineRule="auto"/>
        <w:jc w:val="right"/>
        <w:rPr>
          <w:b w:val="1"/>
          <w:sz w:val="28"/>
          <w:szCs w:val="28"/>
        </w:rPr>
      </w:pPr>
      <w:r w:rsidDel="00000000" w:rsidR="00000000" w:rsidRPr="00000000">
        <w:rPr>
          <w:b w:val="1"/>
          <w:sz w:val="28"/>
          <w:szCs w:val="28"/>
          <w:rtl w:val="0"/>
        </w:rPr>
        <w:t xml:space="preserve">Actualizado a 14 de marzo de 2020</w:t>
      </w:r>
    </w:p>
    <w:p w:rsidR="00000000" w:rsidDel="00000000" w:rsidP="00000000" w:rsidRDefault="00000000" w:rsidRPr="00000000" w14:paraId="00000006">
      <w:pPr>
        <w:spacing w:line="480" w:lineRule="auto"/>
        <w:jc w:val="right"/>
        <w:rPr>
          <w:b w:val="1"/>
          <w:color w:val="95b3d7"/>
          <w:sz w:val="20"/>
          <w:szCs w:val="20"/>
        </w:rPr>
      </w:pPr>
      <w:r w:rsidDel="00000000" w:rsidR="00000000" w:rsidRPr="00000000">
        <w:rPr>
          <w:rtl w:val="0"/>
        </w:rPr>
      </w:r>
    </w:p>
    <w:p w:rsidR="00000000" w:rsidDel="00000000" w:rsidP="00000000" w:rsidRDefault="00000000" w:rsidRPr="00000000" w14:paraId="00000007">
      <w:pPr>
        <w:spacing w:line="480" w:lineRule="auto"/>
        <w:jc w:val="right"/>
        <w:rPr>
          <w:b w:val="1"/>
          <w:sz w:val="20"/>
          <w:szCs w:val="20"/>
        </w:rPr>
      </w:pPr>
      <w:r w:rsidDel="00000000" w:rsidR="00000000" w:rsidRPr="00000000">
        <w:rPr>
          <w:rtl w:val="0"/>
        </w:rPr>
      </w:r>
    </w:p>
    <w:p w:rsidR="00000000" w:rsidDel="00000000" w:rsidP="00000000" w:rsidRDefault="00000000" w:rsidRPr="00000000" w14:paraId="00000008">
      <w:pPr>
        <w:spacing w:line="480" w:lineRule="auto"/>
        <w:jc w:val="right"/>
        <w:rPr>
          <w:b w:val="1"/>
          <w:sz w:val="20"/>
          <w:szCs w:val="20"/>
        </w:rPr>
      </w:pPr>
      <w:r w:rsidDel="00000000" w:rsidR="00000000" w:rsidRPr="00000000">
        <w:rPr>
          <w:rtl w:val="0"/>
        </w:rPr>
      </w:r>
    </w:p>
    <w:p w:rsidR="00000000" w:rsidDel="00000000" w:rsidP="00000000" w:rsidRDefault="00000000" w:rsidRPr="00000000" w14:paraId="00000009">
      <w:pPr>
        <w:spacing w:line="480" w:lineRule="auto"/>
        <w:jc w:val="right"/>
        <w:rPr>
          <w:b w:val="1"/>
          <w:sz w:val="18"/>
          <w:szCs w:val="18"/>
        </w:rPr>
      </w:pPr>
      <w:r w:rsidDel="00000000" w:rsidR="00000000" w:rsidRPr="00000000">
        <w:rPr>
          <w:b w:val="1"/>
          <w:sz w:val="18"/>
          <w:szCs w:val="18"/>
          <w:rtl w:val="0"/>
        </w:rPr>
        <w:t xml:space="preserve">Este documento ha sido revisado y aprobado por la Ponencia de Alertas y Planes de Preparación y Respuesta       </w:t>
      </w:r>
    </w:p>
    <w:p w:rsidR="00000000" w:rsidDel="00000000" w:rsidP="00000000" w:rsidRDefault="00000000" w:rsidRPr="00000000" w14:paraId="0000000A">
      <w:pPr>
        <w:spacing w:line="480" w:lineRule="auto"/>
        <w:jc w:val="right"/>
        <w:rPr>
          <w:b w:val="1"/>
          <w:sz w:val="20"/>
          <w:szCs w:val="20"/>
        </w:rPr>
      </w:pPr>
      <w:r w:rsidDel="00000000" w:rsidR="00000000" w:rsidRPr="00000000">
        <w:rPr>
          <w:rtl w:val="0"/>
        </w:rPr>
      </w:r>
    </w:p>
    <w:p w:rsidR="00000000" w:rsidDel="00000000" w:rsidP="00000000" w:rsidRDefault="00000000" w:rsidRPr="00000000" w14:paraId="0000000B">
      <w:pPr>
        <w:spacing w:line="480" w:lineRule="auto"/>
        <w:jc w:val="right"/>
        <w:rPr>
          <w:b w:val="1"/>
          <w:sz w:val="20"/>
          <w:szCs w:val="20"/>
        </w:rPr>
      </w:pPr>
      <w:r w:rsidDel="00000000" w:rsidR="00000000" w:rsidRPr="00000000">
        <w:rPr>
          <w:rtl w:val="0"/>
        </w:rPr>
      </w:r>
    </w:p>
    <w:p w:rsidR="00000000" w:rsidDel="00000000" w:rsidP="00000000" w:rsidRDefault="00000000" w:rsidRPr="00000000" w14:paraId="0000000C">
      <w:pPr>
        <w:spacing w:line="480" w:lineRule="auto"/>
        <w:jc w:val="right"/>
        <w:rPr>
          <w:b w:val="1"/>
          <w:sz w:val="20"/>
          <w:szCs w:val="20"/>
        </w:rPr>
      </w:pPr>
      <w:r w:rsidDel="00000000" w:rsidR="00000000" w:rsidRPr="00000000">
        <w:rPr>
          <w:rtl w:val="0"/>
        </w:rPr>
      </w:r>
    </w:p>
    <w:p w:rsidR="00000000" w:rsidDel="00000000" w:rsidP="00000000" w:rsidRDefault="00000000" w:rsidRPr="00000000" w14:paraId="0000000D">
      <w:pPr>
        <w:spacing w:line="480" w:lineRule="auto"/>
        <w:jc w:val="right"/>
        <w:rPr>
          <w:b w:val="1"/>
          <w:i w:val="1"/>
          <w:sz w:val="20"/>
          <w:szCs w:val="20"/>
        </w:rPr>
      </w:pPr>
      <w:r w:rsidDel="00000000" w:rsidR="00000000" w:rsidRPr="00000000">
        <w:rPr>
          <w:rtl w:val="0"/>
        </w:rPr>
      </w:r>
    </w:p>
    <w:p w:rsidR="00000000" w:rsidDel="00000000" w:rsidP="00000000" w:rsidRDefault="00000000" w:rsidRPr="00000000" w14:paraId="0000000E">
      <w:pPr>
        <w:spacing w:line="480" w:lineRule="auto"/>
        <w:jc w:val="right"/>
        <w:rPr>
          <w:b w:val="1"/>
          <w:i w:val="1"/>
          <w:color w:val="002060"/>
          <w:sz w:val="20"/>
          <w:szCs w:val="20"/>
        </w:rPr>
      </w:pPr>
      <w:r w:rsidDel="00000000" w:rsidR="00000000" w:rsidRPr="00000000">
        <w:rPr>
          <w:rtl w:val="0"/>
        </w:rPr>
      </w:r>
    </w:p>
    <w:p w:rsidR="00000000" w:rsidDel="00000000" w:rsidP="00000000" w:rsidRDefault="00000000" w:rsidRPr="00000000" w14:paraId="0000000F">
      <w:pPr>
        <w:spacing w:line="480" w:lineRule="auto"/>
        <w:jc w:val="right"/>
        <w:rPr>
          <w:i w:val="1"/>
          <w:color w:val="002060"/>
          <w:sz w:val="18"/>
          <w:szCs w:val="18"/>
        </w:rPr>
      </w:pPr>
      <w:r w:rsidDel="00000000" w:rsidR="00000000" w:rsidRPr="00000000">
        <w:rPr>
          <w:i w:val="1"/>
          <w:color w:val="002060"/>
          <w:sz w:val="18"/>
          <w:szCs w:val="18"/>
          <w:rtl w:val="0"/>
        </w:rPr>
        <w:t xml:space="preserve">Este protocolo está en revisión permanente en función de la evolución y nueva información que se disponga de la infección por el nuevo coronavirus (SARS-CoV-2)</w:t>
      </w:r>
    </w:p>
    <w:p w:rsidR="00000000" w:rsidDel="00000000" w:rsidP="00000000" w:rsidRDefault="00000000" w:rsidRPr="00000000" w14:paraId="00000010">
      <w:pPr>
        <w:spacing w:line="480" w:lineRule="auto"/>
        <w:jc w:val="right"/>
        <w:rPr>
          <w:b w:val="1"/>
          <w:i w:val="1"/>
          <w:sz w:val="20"/>
          <w:szCs w:val="20"/>
        </w:rPr>
      </w:pPr>
      <w:r w:rsidDel="00000000" w:rsidR="00000000" w:rsidRPr="00000000">
        <w:rPr>
          <w:rtl w:val="0"/>
        </w:rPr>
      </w:r>
    </w:p>
    <w:p w:rsidR="00000000" w:rsidDel="00000000" w:rsidP="00000000" w:rsidRDefault="00000000" w:rsidRPr="00000000" w14:paraId="00000011">
      <w:pPr>
        <w:spacing w:line="480" w:lineRule="auto"/>
        <w:jc w:val="right"/>
        <w:rPr>
          <w:b w:val="1"/>
          <w:i w:val="1"/>
          <w:sz w:val="20"/>
          <w:szCs w:val="20"/>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rPr>
          <w:b w:val="1"/>
          <w:color w:val="002060"/>
        </w:rPr>
      </w:pPr>
      <w:r w:rsidDel="00000000" w:rsidR="00000000" w:rsidRPr="00000000">
        <w:br w:type="page"/>
      </w:r>
      <w:r w:rsidDel="00000000" w:rsidR="00000000" w:rsidRPr="00000000">
        <w:rPr>
          <w:rtl w:val="0"/>
        </w:rPr>
      </w:r>
    </w:p>
    <w:p w:rsidR="00000000" w:rsidDel="00000000" w:rsidP="00000000" w:rsidRDefault="00000000" w:rsidRPr="00000000" w14:paraId="00000014">
      <w:pPr>
        <w:pStyle w:val="Heading1"/>
        <w:numPr>
          <w:ilvl w:val="0"/>
          <w:numId w:val="12"/>
        </w:numPr>
        <w:tabs>
          <w:tab w:val="left" w:pos="-720"/>
        </w:tabs>
        <w:ind w:left="360" w:hanging="360"/>
        <w:rPr>
          <w:color w:val="002060"/>
        </w:rPr>
      </w:pPr>
      <w:bookmarkStart w:colFirst="0" w:colLast="0" w:name="_gjdgxs" w:id="0"/>
      <w:bookmarkEnd w:id="0"/>
      <w:r w:rsidDel="00000000" w:rsidR="00000000" w:rsidRPr="00000000">
        <w:rPr>
          <w:rFonts w:ascii="Arial" w:cs="Arial" w:eastAsia="Arial" w:hAnsi="Arial"/>
          <w:color w:val="002060"/>
          <w:rtl w:val="0"/>
        </w:rPr>
        <w:t xml:space="preserve">Indicaciones para la realización del test diagnóstico para la detección del nuevo coronavirus (SARS-CoV-2).</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1"/>
        <w:tabs>
          <w:tab w:val="left" w:pos="-720"/>
        </w:tabs>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En un escenario de transmisión comunitaria sostenida generalizada se debe realizar la detección de infección por  SARS-CoV-2 en las siguientes situaciones. </w:t>
      </w:r>
    </w:p>
    <w:p w:rsidR="00000000" w:rsidDel="00000000" w:rsidP="00000000" w:rsidRDefault="00000000" w:rsidRPr="00000000" w14:paraId="00000017">
      <w:pPr>
        <w:pStyle w:val="Heading1"/>
        <w:tabs>
          <w:tab w:val="left" w:pos="-720"/>
        </w:tabs>
        <w:rPr>
          <w:rFonts w:ascii="Arial" w:cs="Arial" w:eastAsia="Arial" w:hAnsi="Arial"/>
          <w:b w:val="0"/>
          <w:sz w:val="22"/>
          <w:szCs w:val="22"/>
        </w:rPr>
      </w:pPr>
      <w:r w:rsidDel="00000000" w:rsidR="00000000" w:rsidRPr="00000000">
        <w:rPr>
          <w:rtl w:val="0"/>
        </w:rPr>
      </w:r>
    </w:p>
    <w:tbl>
      <w:tblPr>
        <w:tblStyle w:val="Table1"/>
        <w:tblW w:w="886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863"/>
        <w:tblGridChange w:id="0">
          <w:tblGrid>
            <w:gridCol w:w="8863"/>
          </w:tblGrid>
        </w:tblGridChange>
      </w:tblGrid>
      <w:tr>
        <w:tc>
          <w:tcPr>
            <w:shd w:fill="d9d9d9"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 con un cuadro clínico de infección respiratoria aguda que se encuentre hospitalizada o que cumpla criterios de ingreso hospitalario.</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Arial" w:cs="Arial" w:eastAsia="Arial" w:hAnsi="Arial"/>
                <w:b w:val="0"/>
                <w:i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 con un cuadro clínico de infección respiratoria aguda de cualquier gravedad que pertenezca a alguno de los siguientes grupos: (a) personal sanitario y socio-sanitario, (b) otros servicios esenciales.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i w:val="1"/>
              </w:rPr>
            </w:pPr>
            <w:r w:rsidDel="00000000" w:rsidR="00000000" w:rsidRPr="00000000">
              <w:rPr>
                <w:i w:val="1"/>
                <w:rtl w:val="0"/>
              </w:rPr>
              <w:t xml:space="preserve">Se podrá considerar la realización del test diagnóstico en personas especialmente vulnerables que presenten un cuadro clínico de infección respiratoria aguda independientemente de su gravedad, tras una valoración clínica individualizada.</w:t>
            </w:r>
          </w:p>
          <w:p w:rsidR="00000000" w:rsidDel="00000000" w:rsidP="00000000" w:rsidRDefault="00000000" w:rsidRPr="00000000" w14:paraId="0000001E">
            <w:pPr>
              <w:jc w:val="both"/>
              <w:rPr/>
            </w:pPr>
            <w:r w:rsidDel="00000000" w:rsidR="00000000" w:rsidRPr="00000000">
              <w:rPr>
                <w:rtl w:val="0"/>
              </w:rPr>
            </w:r>
          </w:p>
        </w:tc>
      </w:tr>
    </w:tbl>
    <w:p w:rsidR="00000000" w:rsidDel="00000000" w:rsidP="00000000" w:rsidRDefault="00000000" w:rsidRPr="00000000" w14:paraId="0000001F">
      <w:pPr>
        <w:spacing w:after="100" w:before="100" w:lineRule="auto"/>
        <w:jc w:val="both"/>
        <w:rPr>
          <w:i w:val="1"/>
        </w:rPr>
      </w:pPr>
      <w:r w:rsidDel="00000000" w:rsidR="00000000" w:rsidRPr="00000000">
        <w:rPr>
          <w:rtl w:val="0"/>
        </w:rPr>
      </w:r>
    </w:p>
    <w:p w:rsidR="00000000" w:rsidDel="00000000" w:rsidP="00000000" w:rsidRDefault="00000000" w:rsidRPr="00000000" w14:paraId="00000020">
      <w:pPr>
        <w:spacing w:after="100" w:before="100" w:lineRule="auto"/>
        <w:jc w:val="both"/>
        <w:rPr/>
      </w:pPr>
      <w:r w:rsidDel="00000000" w:rsidR="00000000" w:rsidRPr="00000000">
        <w:rPr>
          <w:rtl w:val="0"/>
        </w:rPr>
        <w:t xml:space="preserve">No se realizará el test diagnóstico de rutina a aquellas personas que presenten infección respiratoria aguda leve no incluidas en los supuestos anteriores. </w:t>
      </w:r>
    </w:p>
    <w:p w:rsidR="00000000" w:rsidDel="00000000" w:rsidP="00000000" w:rsidRDefault="00000000" w:rsidRPr="00000000" w14:paraId="00000021">
      <w:pPr>
        <w:jc w:val="both"/>
        <w:rPr/>
      </w:pPr>
      <w:r w:rsidDel="00000000" w:rsidR="00000000" w:rsidRPr="00000000">
        <w:rPr>
          <w:rtl w:val="0"/>
        </w:rPr>
        <w:t xml:space="preserve">Los servicios de salud pública podrán establecer los mecanismos de vigilancia y diagnóstico que consideren necesarios para el seguimiento y gestión de la epidemia. </w:t>
      </w:r>
    </w:p>
    <w:p w:rsidR="00000000" w:rsidDel="00000000" w:rsidP="00000000" w:rsidRDefault="00000000" w:rsidRPr="00000000" w14:paraId="00000022">
      <w:pPr>
        <w:jc w:val="both"/>
        <w:rPr>
          <w:highlight w:val="green"/>
        </w:rPr>
      </w:pPr>
      <w:r w:rsidDel="00000000" w:rsidR="00000000" w:rsidRPr="00000000">
        <w:rPr>
          <w:rtl w:val="0"/>
        </w:rPr>
      </w:r>
    </w:p>
    <w:p w:rsidR="00000000" w:rsidDel="00000000" w:rsidP="00000000" w:rsidRDefault="00000000" w:rsidRPr="00000000" w14:paraId="00000023">
      <w:pPr>
        <w:spacing w:after="100" w:before="100" w:lineRule="auto"/>
        <w:jc w:val="both"/>
        <w:rPr>
          <w:b w:val="1"/>
        </w:rPr>
      </w:pPr>
      <w:r w:rsidDel="00000000" w:rsidR="00000000" w:rsidRPr="00000000">
        <w:rPr>
          <w:b w:val="1"/>
          <w:rtl w:val="0"/>
        </w:rPr>
        <w:t xml:space="preserve">Los casos se clasificarán del siguiente modo: </w:t>
      </w:r>
    </w:p>
    <w:p w:rsidR="00000000" w:rsidDel="00000000" w:rsidP="00000000" w:rsidRDefault="00000000" w:rsidRPr="00000000" w14:paraId="00000024">
      <w:pPr>
        <w:numPr>
          <w:ilvl w:val="0"/>
          <w:numId w:val="1"/>
        </w:numPr>
        <w:spacing w:after="100" w:before="100" w:lineRule="auto"/>
        <w:ind w:left="720" w:hanging="360"/>
        <w:jc w:val="both"/>
        <w:rPr>
          <w:b w:val="1"/>
        </w:rPr>
      </w:pPr>
      <w:r w:rsidDel="00000000" w:rsidR="00000000" w:rsidRPr="00000000">
        <w:rPr>
          <w:b w:val="1"/>
          <w:rtl w:val="0"/>
        </w:rPr>
        <w:t xml:space="preserve">Caso confirmado: </w:t>
      </w:r>
      <w:r w:rsidDel="00000000" w:rsidR="00000000" w:rsidRPr="00000000">
        <w:rPr>
          <w:rtl w:val="0"/>
        </w:rPr>
        <w:t xml:space="preserve">caso que cumple criterio de laboratorio (PCR de screening positiva y PCR de confirmación en un gen alternativo al de screening también positiva). Se enviarán al CNM al menos las muestras de los pacientes confirmados con curso atípico de la enfermedad o de especial gravedad.</w:t>
      </w:r>
      <w:r w:rsidDel="00000000" w:rsidR="00000000" w:rsidRPr="00000000">
        <w:rPr>
          <w:rtl w:val="0"/>
        </w:rPr>
      </w:r>
    </w:p>
    <w:p w:rsidR="00000000" w:rsidDel="00000000" w:rsidP="00000000" w:rsidRDefault="00000000" w:rsidRPr="00000000" w14:paraId="00000025">
      <w:pPr>
        <w:numPr>
          <w:ilvl w:val="0"/>
          <w:numId w:val="1"/>
        </w:numPr>
        <w:spacing w:after="100" w:before="100" w:lineRule="auto"/>
        <w:ind w:left="720" w:hanging="360"/>
        <w:jc w:val="both"/>
        <w:rPr/>
      </w:pPr>
      <w:r w:rsidDel="00000000" w:rsidR="00000000" w:rsidRPr="00000000">
        <w:rPr>
          <w:b w:val="1"/>
          <w:rtl w:val="0"/>
        </w:rPr>
        <w:t xml:space="preserve">Caso probable: </w:t>
      </w:r>
      <w:r w:rsidDel="00000000" w:rsidR="00000000" w:rsidRPr="00000000">
        <w:rPr>
          <w:rtl w:val="0"/>
        </w:rPr>
        <w:t xml:space="preserve">caso cuyos resultados de laboratorio para SARS-CoV-2 no son concluyentes. Estos casos se enviarán al CNM para confirmación.</w:t>
      </w:r>
    </w:p>
    <w:p w:rsidR="00000000" w:rsidDel="00000000" w:rsidP="00000000" w:rsidRDefault="00000000" w:rsidRPr="00000000" w14:paraId="00000026">
      <w:pPr>
        <w:numPr>
          <w:ilvl w:val="0"/>
          <w:numId w:val="1"/>
        </w:numPr>
        <w:spacing w:after="100" w:before="100" w:lineRule="auto"/>
        <w:ind w:left="720" w:hanging="360"/>
        <w:jc w:val="both"/>
        <w:rPr>
          <w:b w:val="1"/>
        </w:rPr>
      </w:pPr>
      <w:r w:rsidDel="00000000" w:rsidR="00000000" w:rsidRPr="00000000">
        <w:rPr>
          <w:b w:val="1"/>
          <w:rtl w:val="0"/>
        </w:rPr>
        <w:t xml:space="preserve">Caso descartado: </w:t>
      </w:r>
      <w:r w:rsidDel="00000000" w:rsidR="00000000" w:rsidRPr="00000000">
        <w:rPr>
          <w:rtl w:val="0"/>
        </w:rPr>
        <w:t xml:space="preserve">caso cuyos resultados de laboratorio para SARS-CoV-2 son negativos. </w:t>
      </w:r>
      <w:r w:rsidDel="00000000" w:rsidR="00000000" w:rsidRPr="00000000">
        <w:rPr>
          <w:rtl w:val="0"/>
        </w:rPr>
      </w:r>
    </w:p>
    <w:p w:rsidR="00000000" w:rsidDel="00000000" w:rsidP="00000000" w:rsidRDefault="00000000" w:rsidRPr="00000000" w14:paraId="00000027">
      <w:pPr>
        <w:numPr>
          <w:ilvl w:val="0"/>
          <w:numId w:val="1"/>
        </w:numPr>
        <w:spacing w:after="100" w:before="100" w:lineRule="auto"/>
        <w:ind w:left="720" w:hanging="360"/>
        <w:jc w:val="both"/>
        <w:rPr/>
      </w:pPr>
      <w:r w:rsidDel="00000000" w:rsidR="00000000" w:rsidRPr="00000000">
        <w:rPr>
          <w:b w:val="1"/>
          <w:rtl w:val="0"/>
        </w:rPr>
        <w:t xml:space="preserve">Caso posible: </w:t>
      </w:r>
      <w:r w:rsidDel="00000000" w:rsidR="00000000" w:rsidRPr="00000000">
        <w:rPr>
          <w:rtl w:val="0"/>
        </w:rPr>
        <w:t xml:space="preserve">caso con infección respiratoria aguda leve sin criterio para realizar test diagnóstico.</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br w:type="page"/>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1"/>
        <w:numPr>
          <w:ilvl w:val="0"/>
          <w:numId w:val="12"/>
        </w:numPr>
        <w:tabs>
          <w:tab w:val="left" w:pos="-720"/>
        </w:tabs>
        <w:ind w:left="360" w:hanging="360"/>
        <w:rPr>
          <w:color w:val="002060"/>
        </w:rPr>
      </w:pPr>
      <w:bookmarkStart w:colFirst="0" w:colLast="0" w:name="_30j0zll" w:id="1"/>
      <w:bookmarkEnd w:id="1"/>
      <w:r w:rsidDel="00000000" w:rsidR="00000000" w:rsidRPr="00000000">
        <w:rPr>
          <w:rFonts w:ascii="Arial" w:cs="Arial" w:eastAsia="Arial" w:hAnsi="Arial"/>
          <w:color w:val="002060"/>
          <w:rtl w:val="0"/>
        </w:rPr>
        <w:t xml:space="preserve">Toma y envío de muestras para diagnóstico de infección por SARS-CoV-2</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Las muestras recomendadas para el diagnóstico son del tracto respiratorio</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E">
      <w:pPr>
        <w:ind w:left="720"/>
        <w:jc w:val="both"/>
        <w:rPr/>
      </w:pPr>
      <w:r w:rsidDel="00000000" w:rsidR="00000000" w:rsidRPr="00000000">
        <w:rPr>
          <w:rtl w:val="0"/>
        </w:rPr>
      </w:r>
    </w:p>
    <w:p w:rsidR="00000000" w:rsidDel="00000000" w:rsidP="00000000" w:rsidRDefault="00000000" w:rsidRPr="00000000" w14:paraId="0000002F">
      <w:pPr>
        <w:numPr>
          <w:ilvl w:val="1"/>
          <w:numId w:val="13"/>
        </w:numPr>
        <w:ind w:left="1080" w:hanging="360"/>
        <w:jc w:val="both"/>
        <w:rPr/>
      </w:pPr>
      <w:r w:rsidDel="00000000" w:rsidR="00000000" w:rsidRPr="00000000">
        <w:rPr>
          <w:b w:val="1"/>
          <w:rtl w:val="0"/>
        </w:rPr>
        <w:t xml:space="preserve">Superior: </w:t>
      </w:r>
      <w:r w:rsidDel="00000000" w:rsidR="00000000" w:rsidRPr="00000000">
        <w:rPr>
          <w:rtl w:val="0"/>
        </w:rPr>
        <w:t xml:space="preserve">exudado nasofaríngeo y/o orofaríngeo.</w:t>
      </w:r>
    </w:p>
    <w:p w:rsidR="00000000" w:rsidDel="00000000" w:rsidP="00000000" w:rsidRDefault="00000000" w:rsidRPr="00000000" w14:paraId="00000030">
      <w:pPr>
        <w:ind w:left="1080"/>
        <w:jc w:val="both"/>
        <w:rPr/>
      </w:pPr>
      <w:r w:rsidDel="00000000" w:rsidR="00000000" w:rsidRPr="00000000">
        <w:rPr>
          <w:rtl w:val="0"/>
        </w:rPr>
        <w:t xml:space="preserve">o</w:t>
      </w:r>
    </w:p>
    <w:p w:rsidR="00000000" w:rsidDel="00000000" w:rsidP="00000000" w:rsidRDefault="00000000" w:rsidRPr="00000000" w14:paraId="00000031">
      <w:pPr>
        <w:numPr>
          <w:ilvl w:val="1"/>
          <w:numId w:val="13"/>
        </w:numPr>
        <w:ind w:left="1080" w:hanging="360"/>
        <w:jc w:val="both"/>
        <w:rPr/>
      </w:pPr>
      <w:r w:rsidDel="00000000" w:rsidR="00000000" w:rsidRPr="00000000">
        <w:rPr>
          <w:b w:val="1"/>
          <w:rtl w:val="0"/>
        </w:rPr>
        <w:t xml:space="preserve">Inferior </w:t>
      </w:r>
      <w:r w:rsidDel="00000000" w:rsidR="00000000" w:rsidRPr="00000000">
        <w:rPr>
          <w:rtl w:val="0"/>
        </w:rPr>
        <w:t xml:space="preserve">preferentemente lavado broncoalveolar, esputo (si es posible) y/o aspirado endotraqueal, especialmente en pacientes con enfermedad respiratoria grave.</w:t>
      </w:r>
    </w:p>
    <w:p w:rsidR="00000000" w:rsidDel="00000000" w:rsidP="00000000" w:rsidRDefault="00000000" w:rsidRPr="00000000" w14:paraId="00000032">
      <w:pPr>
        <w:ind w:left="1080"/>
        <w:jc w:val="both"/>
        <w:rPr/>
      </w:pPr>
      <w:r w:rsidDel="00000000" w:rsidR="00000000" w:rsidRPr="00000000">
        <w:rPr>
          <w:rtl w:val="0"/>
        </w:rPr>
      </w:r>
    </w:p>
    <w:p w:rsidR="00000000" w:rsidDel="00000000" w:rsidP="00000000" w:rsidRDefault="00000000" w:rsidRPr="00000000" w14:paraId="00000033">
      <w:pPr>
        <w:spacing w:after="0" w:lineRule="auto"/>
        <w:jc w:val="both"/>
        <w:rPr/>
      </w:pPr>
      <w:r w:rsidDel="00000000" w:rsidR="00000000" w:rsidRPr="00000000">
        <w:rPr>
          <w:rtl w:val="0"/>
        </w:rPr>
        <w:t xml:space="preserve">Se considera que con una prueba negativa es suficiente para descartar el caso. Sin embargo, si las pruebas iniciales son negativas en un paciente con una alta sospecha clínica y epidemiológica para SARS-CoV-2 (especialmente cuando solo se han recogido muestras de tracto respiratorio superior o la muestra recogida inicialmente no estaba tomada adecuadamente) se repetirán las pruebas diagnósticas con nuevas muestras del tracto respiratorio. </w:t>
      </w:r>
    </w:p>
    <w:p w:rsidR="00000000" w:rsidDel="00000000" w:rsidP="00000000" w:rsidRDefault="00000000" w:rsidRPr="00000000" w14:paraId="00000034">
      <w:pPr>
        <w:spacing w:after="0" w:lineRule="auto"/>
        <w:jc w:val="both"/>
        <w:rPr/>
      </w:pPr>
      <w:r w:rsidDel="00000000" w:rsidR="00000000" w:rsidRPr="00000000">
        <w:rPr>
          <w:rtl w:val="0"/>
        </w:rPr>
      </w:r>
    </w:p>
    <w:p w:rsidR="00000000" w:rsidDel="00000000" w:rsidP="00000000" w:rsidRDefault="00000000" w:rsidRPr="00000000" w14:paraId="00000035">
      <w:pPr>
        <w:spacing w:after="0" w:lineRule="auto"/>
        <w:jc w:val="both"/>
        <w:rPr/>
      </w:pPr>
      <w:r w:rsidDel="00000000" w:rsidR="00000000" w:rsidRPr="00000000">
        <w:rPr>
          <w:rtl w:val="0"/>
        </w:rPr>
        <w:t xml:space="preserve">Si es posible, en los casos confirmados en los que se envíe muestra al CNM, se enviará también pareja de sueros tomadas con al menos 14-30 días de diferencia, recogiéndose el primer suero en la primera semana de enfermedad (fase aguda). Si se recoge solamente una única muestra de suero se debe tomar al menos 14 días después del inicio de los síntomas para poder confirmar la presencia de anticuerpos específicos.</w:t>
      </w:r>
    </w:p>
    <w:p w:rsidR="00000000" w:rsidDel="00000000" w:rsidP="00000000" w:rsidRDefault="00000000" w:rsidRPr="00000000" w14:paraId="00000036">
      <w:pPr>
        <w:spacing w:after="0" w:lineRule="auto"/>
        <w:jc w:val="both"/>
        <w:rPr/>
      </w:pPr>
      <w:r w:rsidDel="00000000" w:rsidR="00000000" w:rsidRPr="00000000">
        <w:rPr>
          <w:rtl w:val="0"/>
        </w:rPr>
        <w:t xml:space="preserve">Se recomienda contactar con el CNM previamente al envío de las muestras. Para ello se contactará con el Área de Orientación Diagnóstica. </w:t>
      </w:r>
    </w:p>
    <w:p w:rsidR="00000000" w:rsidDel="00000000" w:rsidP="00000000" w:rsidRDefault="00000000" w:rsidRPr="00000000" w14:paraId="00000037">
      <w:pPr>
        <w:spacing w:after="0" w:lineRule="auto"/>
        <w:jc w:val="both"/>
        <w:rPr/>
      </w:pPr>
      <w:r w:rsidDel="00000000" w:rsidR="00000000" w:rsidRPr="00000000">
        <w:rPr>
          <w:rtl w:val="0"/>
        </w:rPr>
        <w:t xml:space="preserve">Las muestras deben mantenerse refrigeradas a 4ºC. El envío al CNM debe hacerse también a 4ºC. </w:t>
      </w:r>
    </w:p>
    <w:p w:rsidR="00000000" w:rsidDel="00000000" w:rsidP="00000000" w:rsidRDefault="00000000" w:rsidRPr="00000000" w14:paraId="00000038">
      <w:pPr>
        <w:spacing w:after="0" w:lineRule="auto"/>
        <w:jc w:val="both"/>
        <w:rPr/>
      </w:pPr>
      <w:r w:rsidDel="00000000" w:rsidR="00000000" w:rsidRPr="00000000">
        <w:rPr>
          <w:rtl w:val="0"/>
        </w:rPr>
      </w:r>
    </w:p>
    <w:p w:rsidR="00000000" w:rsidDel="00000000" w:rsidP="00000000" w:rsidRDefault="00000000" w:rsidRPr="00000000" w14:paraId="00000039">
      <w:pPr>
        <w:spacing w:after="0" w:lineRule="auto"/>
        <w:jc w:val="both"/>
        <w:rPr/>
      </w:pPr>
      <w:r w:rsidDel="00000000" w:rsidR="00000000" w:rsidRPr="00000000">
        <w:rPr>
          <w:rtl w:val="0"/>
        </w:rPr>
        <w:t xml:space="preserve">Las muestras clínicas deben ser tratadas como potencialmente infecciosas y se consideran de </w:t>
      </w:r>
      <w:r w:rsidDel="00000000" w:rsidR="00000000" w:rsidRPr="00000000">
        <w:rPr>
          <w:b w:val="1"/>
          <w:rtl w:val="0"/>
        </w:rPr>
        <w:t xml:space="preserve">categoría B</w:t>
      </w:r>
      <w:r w:rsidDel="00000000" w:rsidR="00000000" w:rsidRPr="00000000">
        <w:rPr>
          <w:rtl w:val="0"/>
        </w:rPr>
        <w:t xml:space="preserve">: deben ser tratadas como otras muestras biológicas de este tipo y, si requieren transporte fuera del centro sanitario o domicilio a un laboratorio, serán transportadas en triple embalaje por los procedimientos habituales. En el </w:t>
      </w:r>
      <w:r w:rsidDel="00000000" w:rsidR="00000000" w:rsidRPr="00000000">
        <w:rPr>
          <w:b w:val="1"/>
          <w:rtl w:val="0"/>
        </w:rPr>
        <w:t xml:space="preserve">Anexo 1</w:t>
      </w:r>
      <w:r w:rsidDel="00000000" w:rsidR="00000000" w:rsidRPr="00000000">
        <w:rPr>
          <w:rtl w:val="0"/>
        </w:rPr>
        <w:t xml:space="preserve"> se aporta información más detallada sobre el tipo de muestras y el medio de conservación para su transporte. </w:t>
      </w:r>
    </w:p>
    <w:p w:rsidR="00000000" w:rsidDel="00000000" w:rsidP="00000000" w:rsidRDefault="00000000" w:rsidRPr="00000000" w14:paraId="0000003A">
      <w:pPr>
        <w:spacing w:after="120" w:lineRule="auto"/>
        <w:jc w:val="both"/>
        <w:rPr/>
      </w:pPr>
      <w:r w:rsidDel="00000000" w:rsidR="00000000" w:rsidRPr="00000000">
        <w:rPr>
          <w:rtl w:val="0"/>
        </w:rPr>
      </w:r>
    </w:p>
    <w:p w:rsidR="00000000" w:rsidDel="00000000" w:rsidP="00000000" w:rsidRDefault="00000000" w:rsidRPr="00000000" w14:paraId="0000003B">
      <w:pPr>
        <w:pStyle w:val="Heading1"/>
        <w:numPr>
          <w:ilvl w:val="0"/>
          <w:numId w:val="12"/>
        </w:numPr>
        <w:tabs>
          <w:tab w:val="left" w:pos="-720"/>
        </w:tabs>
        <w:spacing w:after="120" w:lineRule="auto"/>
        <w:ind w:left="360" w:hanging="360"/>
        <w:rPr>
          <w:color w:val="002060"/>
        </w:rPr>
      </w:pPr>
      <w:r w:rsidDel="00000000" w:rsidR="00000000" w:rsidRPr="00000000">
        <w:rPr>
          <w:rFonts w:ascii="Arial" w:cs="Arial" w:eastAsia="Arial" w:hAnsi="Arial"/>
          <w:color w:val="002060"/>
          <w:rtl w:val="0"/>
        </w:rPr>
        <w:t xml:space="preserve">Manejo de los casos de COVID-19</w:t>
      </w:r>
    </w:p>
    <w:p w:rsidR="00000000" w:rsidDel="00000000" w:rsidP="00000000" w:rsidRDefault="00000000" w:rsidRPr="00000000" w14:paraId="0000003C">
      <w:pPr>
        <w:spacing w:after="0" w:lineRule="auto"/>
        <w:jc w:val="both"/>
        <w:rPr/>
      </w:pPr>
      <w:r w:rsidDel="00000000" w:rsidR="00000000" w:rsidRPr="00000000">
        <w:rPr>
          <w:rtl w:val="0"/>
        </w:rPr>
      </w:r>
    </w:p>
    <w:p w:rsidR="00000000" w:rsidDel="00000000" w:rsidP="00000000" w:rsidRDefault="00000000" w:rsidRPr="00000000" w14:paraId="0000003D">
      <w:pPr>
        <w:spacing w:after="0" w:lineRule="auto"/>
        <w:jc w:val="both"/>
        <w:rPr/>
      </w:pPr>
      <w:r w:rsidDel="00000000" w:rsidR="00000000" w:rsidRPr="00000000">
        <w:rPr>
          <w:rtl w:val="0"/>
        </w:rPr>
        <w:t xml:space="preserve">A las personas que presenten síntomas leves se les indicará que contacten con sus servicos de salud o los teléfonos habilitados dependiendo de los protocolos establecidos en cada CCAA. </w:t>
      </w:r>
    </w:p>
    <w:p w:rsidR="00000000" w:rsidDel="00000000" w:rsidP="00000000" w:rsidRDefault="00000000" w:rsidRPr="00000000" w14:paraId="0000003E">
      <w:pPr>
        <w:spacing w:after="0" w:lineRule="auto"/>
        <w:jc w:val="both"/>
        <w:rPr/>
      </w:pPr>
      <w:r w:rsidDel="00000000" w:rsidR="00000000" w:rsidRPr="00000000">
        <w:rPr>
          <w:rtl w:val="0"/>
        </w:rPr>
      </w:r>
    </w:p>
    <w:p w:rsidR="00000000" w:rsidDel="00000000" w:rsidP="00000000" w:rsidRDefault="00000000" w:rsidRPr="00000000" w14:paraId="0000003F">
      <w:pPr>
        <w:spacing w:after="0" w:lineRule="auto"/>
        <w:jc w:val="both"/>
        <w:rPr/>
      </w:pPr>
      <w:r w:rsidDel="00000000" w:rsidR="00000000" w:rsidRPr="00000000">
        <w:rPr>
          <w:rtl w:val="0"/>
        </w:rPr>
        <w:t xml:space="preserve">En los</w:t>
      </w:r>
      <w:r w:rsidDel="00000000" w:rsidR="00000000" w:rsidRPr="00000000">
        <w:rPr>
          <w:b w:val="1"/>
          <w:rtl w:val="0"/>
        </w:rPr>
        <w:t xml:space="preserve"> casos posibles, </w:t>
      </w:r>
      <w:r w:rsidDel="00000000" w:rsidR="00000000" w:rsidRPr="00000000">
        <w:rPr>
          <w:rtl w:val="0"/>
        </w:rPr>
        <w:t xml:space="preserve">se indicará aislamiento domiciliario. El aislamiento se mantendrá hasta transcurridos 14 días desde el inicio de los síntomas, siempre que el cuadro clínico se haya resuelto. El seguimiento y el alta serán supervisados por su médico de atención primaria o de la forma que se establezca en cada comunidad autónoma.  </w:t>
      </w:r>
    </w:p>
    <w:p w:rsidR="00000000" w:rsidDel="00000000" w:rsidP="00000000" w:rsidRDefault="00000000" w:rsidRPr="00000000" w14:paraId="00000040">
      <w:pPr>
        <w:spacing w:after="0" w:lineRule="auto"/>
        <w:jc w:val="both"/>
        <w:rPr/>
      </w:pPr>
      <w:r w:rsidDel="00000000" w:rsidR="00000000" w:rsidRPr="00000000">
        <w:rPr>
          <w:rtl w:val="0"/>
        </w:rPr>
      </w:r>
    </w:p>
    <w:p w:rsidR="00000000" w:rsidDel="00000000" w:rsidP="00000000" w:rsidRDefault="00000000" w:rsidRPr="00000000" w14:paraId="00000041">
      <w:pPr>
        <w:spacing w:after="0" w:lineRule="auto"/>
        <w:jc w:val="both"/>
        <w:rPr/>
      </w:pPr>
      <w:r w:rsidDel="00000000" w:rsidR="00000000" w:rsidRPr="00000000">
        <w:rPr>
          <w:rtl w:val="0"/>
        </w:rPr>
        <w:t xml:space="preserve">Los casos </w:t>
      </w:r>
      <w:r w:rsidDel="00000000" w:rsidR="00000000" w:rsidRPr="00000000">
        <w:rPr>
          <w:b w:val="1"/>
          <w:rtl w:val="0"/>
        </w:rPr>
        <w:t xml:space="preserve">probables y confirmados que han requerido ingreso hospitalario </w:t>
      </w:r>
      <w:r w:rsidDel="00000000" w:rsidR="00000000" w:rsidRPr="00000000">
        <w:rPr>
          <w:rtl w:val="0"/>
        </w:rPr>
        <w:t xml:space="preserve">podrán recibir el alta si su situación clínica lo permite aunque su PCR siga siendo positiva, pero deberá mantener aislamiento domiciliario con monitorización de su situación clínica al menos 14 días desde el alta hospitalaria o hasta que se obtenga un resultado de laboratorio negativo. Los casos ingresados que al alta tengan un resultado de laboratorio negativo podrán ir a su domicilio sin aislamiento.</w:t>
      </w:r>
    </w:p>
    <w:p w:rsidR="00000000" w:rsidDel="00000000" w:rsidP="00000000" w:rsidRDefault="00000000" w:rsidRPr="00000000" w14:paraId="00000042">
      <w:pPr>
        <w:spacing w:after="0" w:lineRule="auto"/>
        <w:jc w:val="both"/>
        <w:rPr/>
      </w:pPr>
      <w:r w:rsidDel="00000000" w:rsidR="00000000" w:rsidRPr="00000000">
        <w:rPr>
          <w:rtl w:val="0"/>
        </w:rPr>
      </w:r>
    </w:p>
    <w:p w:rsidR="00000000" w:rsidDel="00000000" w:rsidP="00000000" w:rsidRDefault="00000000" w:rsidRPr="00000000" w14:paraId="00000043">
      <w:pPr>
        <w:spacing w:after="0" w:lineRule="auto"/>
        <w:jc w:val="both"/>
        <w:rPr/>
      </w:pPr>
      <w:r w:rsidDel="00000000" w:rsidR="00000000" w:rsidRPr="00000000">
        <w:rPr>
          <w:rtl w:val="0"/>
        </w:rPr>
        <w:t xml:space="preserve">Las condiciones de la vivienda deben permitir el aislamiento del paciente en una estancia bien ventilada y si es posible, la disponibilidad de un baño propio. El  paciente debe estar disponible para las evaluaciones médicas que sean necesarias y tanto el paciente como sus convivientes tienen que ser capaces de aplicar de forma correcta y consistente las medidas básicas de higiene, prevención y control de la infección. Los servicios sanitarios proporcionarán al paciente y sus convivientes todas las indicaciones necesarias. </w:t>
      </w:r>
    </w:p>
    <w:p w:rsidR="00000000" w:rsidDel="00000000" w:rsidP="00000000" w:rsidRDefault="00000000" w:rsidRPr="00000000" w14:paraId="00000044">
      <w:pPr>
        <w:spacing w:after="120" w:lineRule="auto"/>
        <w:jc w:val="both"/>
        <w:rPr>
          <w:b w:val="1"/>
          <w:sz w:val="20"/>
          <w:szCs w:val="20"/>
        </w:rPr>
      </w:pPr>
      <w:r w:rsidDel="00000000" w:rsidR="00000000" w:rsidRPr="00000000">
        <w:rPr>
          <w:rtl w:val="0"/>
        </w:rPr>
      </w:r>
    </w:p>
    <w:p w:rsidR="00000000" w:rsidDel="00000000" w:rsidP="00000000" w:rsidRDefault="00000000" w:rsidRPr="00000000" w14:paraId="00000045">
      <w:pPr>
        <w:pStyle w:val="Heading1"/>
        <w:numPr>
          <w:ilvl w:val="0"/>
          <w:numId w:val="12"/>
        </w:numPr>
        <w:tabs>
          <w:tab w:val="left" w:pos="-720"/>
        </w:tabs>
        <w:spacing w:after="120" w:lineRule="auto"/>
        <w:ind w:left="720" w:hanging="720"/>
        <w:rPr>
          <w:color w:val="002060"/>
        </w:rPr>
      </w:pPr>
      <w:bookmarkStart w:colFirst="0" w:colLast="0" w:name="_1fob9te" w:id="2"/>
      <w:bookmarkEnd w:id="2"/>
      <w:r w:rsidDel="00000000" w:rsidR="00000000" w:rsidRPr="00000000">
        <w:rPr>
          <w:rFonts w:ascii="Arial" w:cs="Arial" w:eastAsia="Arial" w:hAnsi="Arial"/>
          <w:color w:val="002060"/>
          <w:rtl w:val="0"/>
        </w:rPr>
        <w:t xml:space="preserve">Estudio y manejo de contactos</w:t>
      </w:r>
    </w:p>
    <w:p w:rsidR="00000000" w:rsidDel="00000000" w:rsidP="00000000" w:rsidRDefault="00000000" w:rsidRPr="00000000" w14:paraId="00000046">
      <w:pPr>
        <w:spacing w:after="0" w:lineRule="auto"/>
        <w:jc w:val="both"/>
        <w:rPr/>
      </w:pPr>
      <w:r w:rsidDel="00000000" w:rsidR="00000000" w:rsidRPr="00000000">
        <w:rPr>
          <w:rtl w:val="0"/>
        </w:rPr>
      </w:r>
    </w:p>
    <w:p w:rsidR="00000000" w:rsidDel="00000000" w:rsidP="00000000" w:rsidRDefault="00000000" w:rsidRPr="00000000" w14:paraId="00000047">
      <w:pPr>
        <w:spacing w:after="0" w:lineRule="auto"/>
        <w:jc w:val="both"/>
        <w:rPr/>
      </w:pPr>
      <w:r w:rsidDel="00000000" w:rsidR="00000000" w:rsidRPr="00000000">
        <w:rPr>
          <w:rtl w:val="0"/>
        </w:rPr>
        <w:t xml:space="preserve">Se clasifica como </w:t>
      </w:r>
      <w:r w:rsidDel="00000000" w:rsidR="00000000" w:rsidRPr="00000000">
        <w:rPr>
          <w:b w:val="1"/>
          <w:rtl w:val="0"/>
        </w:rPr>
        <w:t xml:space="preserve">contacto estrecho de casos posibles, probables o confirmados</w:t>
      </w:r>
      <w:r w:rsidDel="00000000" w:rsidR="00000000" w:rsidRPr="00000000">
        <w:rPr>
          <w:rtl w:val="0"/>
        </w:rPr>
        <w:t xml:space="preserve">:</w:t>
      </w:r>
    </w:p>
    <w:p w:rsidR="00000000" w:rsidDel="00000000" w:rsidP="00000000" w:rsidRDefault="00000000" w:rsidRPr="00000000" w14:paraId="00000048">
      <w:pPr>
        <w:numPr>
          <w:ilvl w:val="0"/>
          <w:numId w:val="8"/>
        </w:numPr>
        <w:spacing w:after="0" w:lineRule="auto"/>
        <w:ind w:left="360" w:hanging="360"/>
        <w:jc w:val="both"/>
        <w:rPr/>
      </w:pPr>
      <w:r w:rsidDel="00000000" w:rsidR="00000000" w:rsidRPr="00000000">
        <w:rPr>
          <w:rtl w:val="0"/>
        </w:rPr>
        <w:t xml:space="preserve">Cualquier persona que haya proporcionado cuidados mientras el caso presentaba síntomas: trabajadores sanitarios que no han utilizado las medidas de protección adecuadas, miembros familiares o personas que tengan otro tipo de contacto físico similar;</w:t>
      </w:r>
    </w:p>
    <w:p w:rsidR="00000000" w:rsidDel="00000000" w:rsidP="00000000" w:rsidRDefault="00000000" w:rsidRPr="00000000" w14:paraId="00000049">
      <w:pPr>
        <w:numPr>
          <w:ilvl w:val="0"/>
          <w:numId w:val="8"/>
        </w:numPr>
        <w:spacing w:after="0" w:lineRule="auto"/>
        <w:ind w:left="360" w:hanging="360"/>
        <w:jc w:val="both"/>
        <w:rPr/>
      </w:pPr>
      <w:r w:rsidDel="00000000" w:rsidR="00000000" w:rsidRPr="00000000">
        <w:rPr>
          <w:rtl w:val="0"/>
        </w:rPr>
        <w:t xml:space="preserve">Convivientes, familiares y personas que hayan estado en el mismo lugar que un caso mientras el caso presentaba síntomas a una distancia menor de 2 metros durante un tiempo de al menos 15 minutos.</w:t>
      </w:r>
    </w:p>
    <w:p w:rsidR="00000000" w:rsidDel="00000000" w:rsidP="00000000" w:rsidRDefault="00000000" w:rsidRPr="00000000" w14:paraId="0000004A">
      <w:pPr>
        <w:spacing w:after="0" w:lineRule="auto"/>
        <w:jc w:val="both"/>
        <w:rPr/>
      </w:pPr>
      <w:r w:rsidDel="00000000" w:rsidR="00000000" w:rsidRPr="00000000">
        <w:rPr>
          <w:rtl w:val="0"/>
        </w:rPr>
      </w:r>
    </w:p>
    <w:p w:rsidR="00000000" w:rsidDel="00000000" w:rsidP="00000000" w:rsidRDefault="00000000" w:rsidRPr="00000000" w14:paraId="0000004B">
      <w:pPr>
        <w:spacing w:after="0" w:lineRule="auto"/>
        <w:jc w:val="both"/>
        <w:rPr/>
      </w:pPr>
      <w:r w:rsidDel="00000000" w:rsidR="00000000" w:rsidRPr="00000000">
        <w:rPr>
          <w:rtl w:val="0"/>
        </w:rPr>
        <w:t xml:space="preserve">Cualquier persona asintomática que cumpla la definición de contacto estrecho deberá, como medida general realizar cuarentena domiciliaria durante 14 días. Las autoridades sanitarias podrán valorar situaciones individuales que requieran otro tipo de recomendación. Si durante los 14 días posteriores a la exposición el contacto desarrollara síntomas y la situación clínica lo permite, deberá hacer autoaislamiento inmediato domiciliario y contactar con los servicios de atención primaria según se haya establecido en los protocolos de cada CCAA. </w:t>
      </w:r>
    </w:p>
    <w:p w:rsidR="00000000" w:rsidDel="00000000" w:rsidP="00000000" w:rsidRDefault="00000000" w:rsidRPr="00000000" w14:paraId="0000004C">
      <w:pPr>
        <w:spacing w:after="0" w:lineRule="auto"/>
        <w:jc w:val="both"/>
        <w:rPr/>
      </w:pPr>
      <w:r w:rsidDel="00000000" w:rsidR="00000000" w:rsidRPr="00000000">
        <w:rPr>
          <w:rtl w:val="0"/>
        </w:rPr>
      </w:r>
    </w:p>
    <w:p w:rsidR="00000000" w:rsidDel="00000000" w:rsidP="00000000" w:rsidRDefault="00000000" w:rsidRPr="00000000" w14:paraId="0000004D">
      <w:pPr>
        <w:spacing w:after="0" w:lineRule="auto"/>
        <w:jc w:val="both"/>
        <w:rPr/>
      </w:pPr>
      <w:r w:rsidDel="00000000" w:rsidR="00000000" w:rsidRPr="00000000">
        <w:rPr>
          <w:rtl w:val="0"/>
        </w:rPr>
        <w:t xml:space="preserve">Los servicios de prevención de riesgos laborales serán los encargados de establecer los mecanismos para la investigación y seguimiento de los contactos estrechos en el ámbito de sus competencias, de forma coordinada con las autoridades de salud pública. </w:t>
      </w:r>
    </w:p>
    <w:p w:rsidR="00000000" w:rsidDel="00000000" w:rsidP="00000000" w:rsidRDefault="00000000" w:rsidRPr="00000000" w14:paraId="0000004E">
      <w:pPr>
        <w:spacing w:after="0" w:lineRule="auto"/>
        <w:jc w:val="both"/>
        <w:rPr/>
      </w:pPr>
      <w:r w:rsidDel="00000000" w:rsidR="00000000" w:rsidRPr="00000000">
        <w:rPr>
          <w:rtl w:val="0"/>
        </w:rPr>
      </w:r>
    </w:p>
    <w:p w:rsidR="00000000" w:rsidDel="00000000" w:rsidP="00000000" w:rsidRDefault="00000000" w:rsidRPr="00000000" w14:paraId="0000004F">
      <w:pPr>
        <w:spacing w:after="0" w:lineRule="auto"/>
        <w:jc w:val="both"/>
        <w:rPr/>
      </w:pPr>
      <w:r w:rsidDel="00000000" w:rsidR="00000000" w:rsidRPr="00000000">
        <w:rPr>
          <w:rtl w:val="0"/>
        </w:rPr>
        <w:t xml:space="preserve">El seguimiento y manejo de los profesionales sanitarios se establece en un procedimiento específico. </w:t>
      </w:r>
    </w:p>
    <w:p w:rsidR="00000000" w:rsidDel="00000000" w:rsidP="00000000" w:rsidRDefault="00000000" w:rsidRPr="00000000" w14:paraId="00000050">
      <w:pPr>
        <w:spacing w:after="0" w:lineRule="auto"/>
        <w:jc w:val="both"/>
        <w:rPr/>
      </w:pPr>
      <w:r w:rsidDel="00000000" w:rsidR="00000000" w:rsidRPr="00000000">
        <w:rPr>
          <w:rtl w:val="0"/>
        </w:rPr>
      </w:r>
    </w:p>
    <w:p w:rsidR="00000000" w:rsidDel="00000000" w:rsidP="00000000" w:rsidRDefault="00000000" w:rsidRPr="00000000" w14:paraId="00000051">
      <w:pPr>
        <w:spacing w:after="0" w:lineRule="auto"/>
        <w:jc w:val="both"/>
        <w:rPr/>
      </w:pPr>
      <w:r w:rsidDel="00000000" w:rsidR="00000000" w:rsidRPr="00000000">
        <w:rPr>
          <w:rtl w:val="0"/>
        </w:rPr>
        <w:t xml:space="preserve">No se realizarán pruebas diagnósticas para coronavirus de rutina en los contactos.  </w:t>
      </w:r>
    </w:p>
    <w:p w:rsidR="00000000" w:rsidDel="00000000" w:rsidP="00000000" w:rsidRDefault="00000000" w:rsidRPr="00000000" w14:paraId="00000052">
      <w:pPr>
        <w:spacing w:after="120" w:lineRule="auto"/>
        <w:jc w:val="both"/>
        <w:rPr/>
      </w:pPr>
      <w:r w:rsidDel="00000000" w:rsidR="00000000" w:rsidRPr="00000000">
        <w:rPr>
          <w:rtl w:val="0"/>
        </w:rPr>
      </w:r>
    </w:p>
    <w:p w:rsidR="00000000" w:rsidDel="00000000" w:rsidP="00000000" w:rsidRDefault="00000000" w:rsidRPr="00000000" w14:paraId="00000053">
      <w:pPr>
        <w:pStyle w:val="Heading1"/>
        <w:numPr>
          <w:ilvl w:val="0"/>
          <w:numId w:val="12"/>
        </w:numPr>
        <w:tabs>
          <w:tab w:val="left" w:pos="-720"/>
        </w:tabs>
        <w:spacing w:after="120" w:lineRule="auto"/>
        <w:ind w:left="360" w:hanging="360"/>
        <w:rPr>
          <w:color w:val="002060"/>
        </w:rPr>
      </w:pPr>
      <w:r w:rsidDel="00000000" w:rsidR="00000000" w:rsidRPr="00000000">
        <w:rPr>
          <w:rFonts w:ascii="Arial" w:cs="Arial" w:eastAsia="Arial" w:hAnsi="Arial"/>
          <w:color w:val="002060"/>
          <w:rtl w:val="0"/>
        </w:rPr>
        <w:t xml:space="preserve">Procedimiento de notificación de casos</w:t>
      </w:r>
    </w:p>
    <w:p w:rsidR="00000000" w:rsidDel="00000000" w:rsidP="00000000" w:rsidRDefault="00000000" w:rsidRPr="00000000" w14:paraId="00000054">
      <w:pPr>
        <w:spacing w:after="0" w:lineRule="auto"/>
        <w:rPr/>
      </w:pPr>
      <w:r w:rsidDel="00000000" w:rsidR="00000000" w:rsidRPr="00000000">
        <w:rPr>
          <w:rtl w:val="0"/>
        </w:rPr>
      </w:r>
    </w:p>
    <w:p w:rsidR="00000000" w:rsidDel="00000000" w:rsidP="00000000" w:rsidRDefault="00000000" w:rsidRPr="00000000" w14:paraId="00000055">
      <w:pPr>
        <w:spacing w:after="0" w:lineRule="auto"/>
        <w:jc w:val="both"/>
        <w:rPr/>
      </w:pPr>
      <w:r w:rsidDel="00000000" w:rsidR="00000000" w:rsidRPr="00000000">
        <w:rPr>
          <w:rtl w:val="0"/>
        </w:rPr>
        <w:t xml:space="preserve">Los casos confirmados deben ser comunicados de forma urgente a los servicios de salud pública de cada CCAA, que a su vez lo notificarán al Centro de Coordinación de Alertas y Emergencias Sanitarias (CCAES) del Ministerio de Sanidad y al Centro Nacional de Epidemiología (CNE) del ISCIII según se establezca en cada momento. </w:t>
      </w:r>
    </w:p>
    <w:p w:rsidR="00000000" w:rsidDel="00000000" w:rsidP="00000000" w:rsidRDefault="00000000" w:rsidRPr="00000000" w14:paraId="00000056">
      <w:pPr>
        <w:spacing w:after="0" w:lineRule="auto"/>
        <w:jc w:val="both"/>
        <w:rPr/>
      </w:pPr>
      <w:r w:rsidDel="00000000" w:rsidR="00000000" w:rsidRPr="00000000">
        <w:rPr>
          <w:rtl w:val="0"/>
        </w:rPr>
      </w:r>
    </w:p>
    <w:p w:rsidR="00000000" w:rsidDel="00000000" w:rsidP="00000000" w:rsidRDefault="00000000" w:rsidRPr="00000000" w14:paraId="00000057">
      <w:pPr>
        <w:spacing w:after="0" w:lineRule="auto"/>
        <w:jc w:val="both"/>
        <w:rPr/>
      </w:pPr>
      <w:r w:rsidDel="00000000" w:rsidR="00000000" w:rsidRPr="00000000">
        <w:rPr>
          <w:rtl w:val="0"/>
        </w:rPr>
        <w:t xml:space="preserve">Los servicios de salud pública de las CCAA deberán cumplimentar la información en SiVIES usando el formulario habilitado para tal fin. Desde el CCAES y el ISCIII (CNE y CNM) se transmitirá la información a los organismos nacionales e internacionales según proceda.</w:t>
      </w:r>
    </w:p>
    <w:p w:rsidR="00000000" w:rsidDel="00000000" w:rsidP="00000000" w:rsidRDefault="00000000" w:rsidRPr="00000000" w14:paraId="00000058">
      <w:pPr>
        <w:spacing w:after="120" w:lineRule="auto"/>
        <w:jc w:val="both"/>
        <w:rPr/>
      </w:pPr>
      <w:r w:rsidDel="00000000" w:rsidR="00000000" w:rsidRPr="00000000">
        <w:rPr>
          <w:rtl w:val="0"/>
        </w:rPr>
      </w:r>
    </w:p>
    <w:p w:rsidR="00000000" w:rsidDel="00000000" w:rsidP="00000000" w:rsidRDefault="00000000" w:rsidRPr="00000000" w14:paraId="00000059">
      <w:pPr>
        <w:pStyle w:val="Heading1"/>
        <w:numPr>
          <w:ilvl w:val="0"/>
          <w:numId w:val="12"/>
        </w:numPr>
        <w:tabs>
          <w:tab w:val="left" w:pos="-720"/>
        </w:tabs>
        <w:spacing w:after="120" w:lineRule="auto"/>
        <w:ind w:left="720" w:hanging="720"/>
        <w:rPr>
          <w:color w:val="002060"/>
        </w:rPr>
      </w:pPr>
      <w:bookmarkStart w:colFirst="0" w:colLast="0" w:name="_3znysh7" w:id="3"/>
      <w:bookmarkEnd w:id="3"/>
      <w:r w:rsidDel="00000000" w:rsidR="00000000" w:rsidRPr="00000000">
        <w:rPr>
          <w:rFonts w:ascii="Arial" w:cs="Arial" w:eastAsia="Arial" w:hAnsi="Arial"/>
          <w:color w:val="002060"/>
          <w:rtl w:val="0"/>
        </w:rPr>
        <w:t xml:space="preserve">Medidas dirigidas a la prevención y control de la infección</w:t>
      </w:r>
    </w:p>
    <w:p w:rsidR="00000000" w:rsidDel="00000000" w:rsidP="00000000" w:rsidRDefault="00000000" w:rsidRPr="00000000" w14:paraId="0000005A">
      <w:pPr>
        <w:spacing w:after="0" w:lineRule="auto"/>
        <w:jc w:val="both"/>
        <w:rPr/>
      </w:pPr>
      <w:r w:rsidDel="00000000" w:rsidR="00000000" w:rsidRPr="00000000">
        <w:rPr>
          <w:rtl w:val="0"/>
        </w:rPr>
      </w:r>
    </w:p>
    <w:p w:rsidR="00000000" w:rsidDel="00000000" w:rsidP="00000000" w:rsidRDefault="00000000" w:rsidRPr="00000000" w14:paraId="0000005B">
      <w:pPr>
        <w:spacing w:after="0" w:lineRule="auto"/>
        <w:jc w:val="both"/>
        <w:rPr/>
      </w:pPr>
      <w:r w:rsidDel="00000000" w:rsidR="00000000" w:rsidRPr="00000000">
        <w:rPr>
          <w:rtl w:val="0"/>
        </w:rPr>
        <w:t xml:space="preserve">Los coronavirus se transmiten principalmente por las gotas respiratorias de más de 5 micras y por el contacto directo con las secreciones de pacientes infectados. Debido a ello, las precauciones para el manejo de los pacientes posibles, para aquellos que cumplen criterios para la realización de la prueba diagnóstica y para los probables o confirmados por SARS-CoV-2 deben incluir las </w:t>
      </w:r>
      <w:r w:rsidDel="00000000" w:rsidR="00000000" w:rsidRPr="00000000">
        <w:rPr>
          <w:b w:val="1"/>
          <w:rtl w:val="0"/>
        </w:rPr>
        <w:t xml:space="preserve">precauciones estándar, precauciones de contacto y precauciones de transmisión por gotas</w:t>
      </w:r>
      <w:r w:rsidDel="00000000" w:rsidR="00000000" w:rsidRPr="00000000">
        <w:rPr>
          <w:rtl w:val="0"/>
        </w:rPr>
        <w:t xml:space="preserve">. </w:t>
      </w:r>
    </w:p>
    <w:p w:rsidR="00000000" w:rsidDel="00000000" w:rsidP="00000000" w:rsidRDefault="00000000" w:rsidRPr="00000000" w14:paraId="0000005C">
      <w:pPr>
        <w:spacing w:after="0" w:lineRule="auto"/>
        <w:jc w:val="both"/>
        <w:rPr/>
      </w:pPr>
      <w:r w:rsidDel="00000000" w:rsidR="00000000" w:rsidRPr="00000000">
        <w:rPr>
          <w:rtl w:val="0"/>
        </w:rPr>
      </w:r>
    </w:p>
    <w:p w:rsidR="00000000" w:rsidDel="00000000" w:rsidP="00000000" w:rsidRDefault="00000000" w:rsidRPr="00000000" w14:paraId="0000005D">
      <w:pPr>
        <w:spacing w:after="0" w:lineRule="auto"/>
        <w:jc w:val="both"/>
        <w:rPr/>
      </w:pPr>
      <w:r w:rsidDel="00000000" w:rsidR="00000000" w:rsidRPr="00000000">
        <w:rPr>
          <w:rtl w:val="0"/>
        </w:rPr>
        <w:t xml:space="preserve">Las medidas recomendadas en este momento, que se irán revisando según se disponga de más información sobre la enfermedad y su epidemiológica, son las siguientes:</w:t>
      </w:r>
    </w:p>
    <w:p w:rsidR="00000000" w:rsidDel="00000000" w:rsidP="00000000" w:rsidRDefault="00000000" w:rsidRPr="00000000" w14:paraId="0000005E">
      <w:pPr>
        <w:spacing w:after="0" w:lineRule="auto"/>
        <w:jc w:val="both"/>
        <w:rPr/>
      </w:pPr>
      <w:r w:rsidDel="00000000" w:rsidR="00000000" w:rsidRPr="00000000">
        <w:rPr>
          <w:rtl w:val="0"/>
        </w:rPr>
      </w:r>
    </w:p>
    <w:p w:rsidR="00000000" w:rsidDel="00000000" w:rsidP="00000000" w:rsidRDefault="00000000" w:rsidRPr="00000000" w14:paraId="0000005F">
      <w:pPr>
        <w:numPr>
          <w:ilvl w:val="0"/>
          <w:numId w:val="3"/>
        </w:numPr>
        <w:spacing w:after="0" w:lineRule="auto"/>
        <w:ind w:left="720" w:hanging="360"/>
        <w:jc w:val="both"/>
        <w:rPr/>
      </w:pPr>
      <w:bookmarkStart w:colFirst="0" w:colLast="0" w:name="_2et92p0" w:id="4"/>
      <w:bookmarkEnd w:id="4"/>
      <w:r w:rsidDel="00000000" w:rsidR="00000000" w:rsidRPr="00000000">
        <w:rPr>
          <w:rtl w:val="0"/>
        </w:rPr>
        <w:t xml:space="preserve">Los centros sanitarios y sociosanitarios deberán establecer de forma rápida si un paciente con Infección Respiratoria Aguda (IRA) cumple los criterios para la realización de la prueba diagnóstica de SARS-CoV-2. Los pacientes con infección respiratoria aguda deberán separarse de otros pacientes, se les pondrá una mascarilla quirúrgica y serán conducidos de forma inmediata a una zona habilitada para su manejo. El personal que les acompañe hasta la zona de aislamiento llevará mascarilla quirúrgica. </w:t>
      </w:r>
    </w:p>
    <w:p w:rsidR="00000000" w:rsidDel="00000000" w:rsidP="00000000" w:rsidRDefault="00000000" w:rsidRPr="00000000" w14:paraId="00000060">
      <w:pPr>
        <w:spacing w:after="0" w:lineRule="auto"/>
        <w:ind w:left="720"/>
        <w:jc w:val="both"/>
        <w:rPr/>
      </w:pPr>
      <w:r w:rsidDel="00000000" w:rsidR="00000000" w:rsidRPr="00000000">
        <w:rPr>
          <w:rtl w:val="0"/>
        </w:rPr>
      </w:r>
    </w:p>
    <w:p w:rsidR="00000000" w:rsidDel="00000000" w:rsidP="00000000" w:rsidRDefault="00000000" w:rsidRPr="00000000" w14:paraId="00000061">
      <w:pPr>
        <w:numPr>
          <w:ilvl w:val="0"/>
          <w:numId w:val="3"/>
        </w:numPr>
        <w:spacing w:after="120" w:lineRule="auto"/>
        <w:ind w:left="720" w:hanging="360"/>
        <w:jc w:val="both"/>
        <w:rPr/>
      </w:pPr>
      <w:r w:rsidDel="00000000" w:rsidR="00000000" w:rsidRPr="00000000">
        <w:rPr>
          <w:rtl w:val="0"/>
        </w:rPr>
        <w:t xml:space="preserve">El personal sanitario que atienda a casos de infección por SARS-CoV-2 o las personas que entren en la habitación de aislamiento (p. ej familiares, personal de limpieza…) deben llevar un equipo de protección individual para la prevención de infección por microorganismos transmitidos por gotas y por contacto que incluya bata, mascarilla (quirúrgica o FFP2 si hay disponibilidad y siempre asegurando la existencia de stoks suficientes para las situaciones en las que su uso esté indicado de forma más priorizada), guantes y protección ocular antisalpicaduras. </w:t>
      </w:r>
    </w:p>
    <w:p w:rsidR="00000000" w:rsidDel="00000000" w:rsidP="00000000" w:rsidRDefault="00000000" w:rsidRPr="00000000" w14:paraId="00000062">
      <w:pPr>
        <w:numPr>
          <w:ilvl w:val="0"/>
          <w:numId w:val="3"/>
        </w:numPr>
        <w:spacing w:after="120" w:lineRule="auto"/>
        <w:ind w:left="720" w:hanging="360"/>
        <w:jc w:val="both"/>
        <w:rPr/>
      </w:pPr>
      <w:r w:rsidDel="00000000" w:rsidR="00000000" w:rsidRPr="00000000">
        <w:rPr>
          <w:rtl w:val="0"/>
        </w:rPr>
        <w:t xml:space="preserve">Los procedimientos que generen aerosoles se deben realizar únicamente si se consideran estrictamente necesarios para el manejo clínico del caso. Estos incluyen procedimientos como la intubación traqueal, el lavado bronco-alveolar, o la ventilación manual y se deberán reducir al mínimo el número de personas en la habitación y todos deben llevar: </w:t>
      </w:r>
    </w:p>
    <w:p w:rsidR="00000000" w:rsidDel="00000000" w:rsidP="00000000" w:rsidRDefault="00000000" w:rsidRPr="00000000" w14:paraId="00000063">
      <w:pPr>
        <w:numPr>
          <w:ilvl w:val="1"/>
          <w:numId w:val="5"/>
        </w:numPr>
        <w:spacing w:after="0" w:lineRule="auto"/>
        <w:ind w:left="1440" w:hanging="360"/>
        <w:jc w:val="both"/>
        <w:rPr/>
      </w:pPr>
      <w:r w:rsidDel="00000000" w:rsidR="00000000" w:rsidRPr="00000000">
        <w:rPr>
          <w:rtl w:val="0"/>
        </w:rPr>
        <w:t xml:space="preserve">Una mascarilla autofiltrante FFP2 o FFP3 si hay disponibilidad.</w:t>
      </w:r>
    </w:p>
    <w:p w:rsidR="00000000" w:rsidDel="00000000" w:rsidP="00000000" w:rsidRDefault="00000000" w:rsidRPr="00000000" w14:paraId="00000064">
      <w:pPr>
        <w:numPr>
          <w:ilvl w:val="1"/>
          <w:numId w:val="5"/>
        </w:numPr>
        <w:spacing w:after="0" w:lineRule="auto"/>
        <w:ind w:left="1440" w:hanging="360"/>
        <w:jc w:val="both"/>
        <w:rPr/>
      </w:pPr>
      <w:r w:rsidDel="00000000" w:rsidR="00000000" w:rsidRPr="00000000">
        <w:rPr>
          <w:rtl w:val="0"/>
        </w:rPr>
        <w:t xml:space="preserve">Protección ocular ajustada de montura integral o protector facial completo.</w:t>
      </w:r>
    </w:p>
    <w:p w:rsidR="00000000" w:rsidDel="00000000" w:rsidP="00000000" w:rsidRDefault="00000000" w:rsidRPr="00000000" w14:paraId="00000065">
      <w:pPr>
        <w:numPr>
          <w:ilvl w:val="1"/>
          <w:numId w:val="5"/>
        </w:numPr>
        <w:spacing w:after="0" w:lineRule="auto"/>
        <w:ind w:left="1440" w:hanging="360"/>
        <w:jc w:val="both"/>
        <w:rPr/>
      </w:pPr>
      <w:r w:rsidDel="00000000" w:rsidR="00000000" w:rsidRPr="00000000">
        <w:rPr>
          <w:rtl w:val="0"/>
        </w:rPr>
        <w:t xml:space="preserve">Guantes.</w:t>
      </w:r>
    </w:p>
    <w:p w:rsidR="00000000" w:rsidDel="00000000" w:rsidP="00000000" w:rsidRDefault="00000000" w:rsidRPr="00000000" w14:paraId="00000066">
      <w:pPr>
        <w:numPr>
          <w:ilvl w:val="1"/>
          <w:numId w:val="5"/>
        </w:numPr>
        <w:spacing w:after="0" w:lineRule="auto"/>
        <w:ind w:left="1440" w:hanging="360"/>
        <w:jc w:val="both"/>
        <w:rPr/>
      </w:pPr>
      <w:r w:rsidDel="00000000" w:rsidR="00000000" w:rsidRPr="00000000">
        <w:rPr>
          <w:rtl w:val="0"/>
        </w:rPr>
        <w:t xml:space="preserve">Batas de manga larga (si la bata no es impermeable y se prevé que se produzcan salpicaduras de sangre u otros fluidos corporales, añadir un delantal de plástico). </w:t>
      </w:r>
    </w:p>
    <w:p w:rsidR="00000000" w:rsidDel="00000000" w:rsidP="00000000" w:rsidRDefault="00000000" w:rsidRPr="00000000" w14:paraId="00000067">
      <w:pPr>
        <w:spacing w:after="0" w:lineRule="auto"/>
        <w:ind w:left="1440"/>
        <w:jc w:val="both"/>
        <w:rPr/>
      </w:pPr>
      <w:r w:rsidDel="00000000" w:rsidR="00000000" w:rsidRPr="00000000">
        <w:rPr>
          <w:rtl w:val="0"/>
        </w:rPr>
      </w:r>
    </w:p>
    <w:p w:rsidR="00000000" w:rsidDel="00000000" w:rsidP="00000000" w:rsidRDefault="00000000" w:rsidRPr="00000000" w14:paraId="00000068">
      <w:pPr>
        <w:spacing w:after="120" w:lineRule="auto"/>
        <w:ind w:left="708"/>
        <w:jc w:val="both"/>
        <w:rPr>
          <w:strike w:val="1"/>
        </w:rPr>
      </w:pPr>
      <w:r w:rsidDel="00000000" w:rsidR="00000000" w:rsidRPr="00000000">
        <w:rPr>
          <w:rtl w:val="0"/>
        </w:rPr>
        <w:t xml:space="preserve">Si hay disponibilidad, se valorará realizar estos procedimientos en habitaciones de presión negativa. </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debe cumplir una estricta higiene de manos antes y después del contacto con el paciente y de la retirada del EPI. </w:t>
      </w:r>
    </w:p>
    <w:p w:rsidR="00000000" w:rsidDel="00000000" w:rsidP="00000000" w:rsidRDefault="00000000" w:rsidRPr="00000000" w14:paraId="0000006A">
      <w:pPr>
        <w:spacing w:after="0" w:lineRule="auto"/>
        <w:ind w:left="720"/>
        <w:jc w:val="both"/>
        <w:rPr/>
      </w:pPr>
      <w:r w:rsidDel="00000000" w:rsidR="00000000" w:rsidRPr="00000000">
        <w:rPr>
          <w:rtl w:val="0"/>
        </w:rPr>
      </w:r>
    </w:p>
    <w:p w:rsidR="00000000" w:rsidDel="00000000" w:rsidP="00000000" w:rsidRDefault="00000000" w:rsidRPr="00000000" w14:paraId="0000006B">
      <w:pPr>
        <w:numPr>
          <w:ilvl w:val="0"/>
          <w:numId w:val="3"/>
        </w:numPr>
        <w:spacing w:after="0" w:lineRule="auto"/>
        <w:ind w:left="720" w:hanging="360"/>
        <w:jc w:val="both"/>
        <w:rPr/>
      </w:pPr>
      <w:r w:rsidDel="00000000" w:rsidR="00000000" w:rsidRPr="00000000">
        <w:rPr>
          <w:rtl w:val="0"/>
        </w:rPr>
        <w:t xml:space="preserve">Cuando sea necesario realizar el transporte de casos probables o confirmados, se realizará en una ambulancia con la cabina del conductor físicamente separada del área de transporte del paciente. El personal que intervenga en el transporte deberá ser informado previamente y deberá utilizar equipo de protección individual adecuado. Una vez finalizado el transporte se procederá a la desinfección del vehículo y a la gestión de los residuos producidos según se indica más adelante. </w:t>
      </w:r>
    </w:p>
    <w:p w:rsidR="00000000" w:rsidDel="00000000" w:rsidP="00000000" w:rsidRDefault="00000000" w:rsidRPr="00000000" w14:paraId="0000006C">
      <w:pPr>
        <w:spacing w:after="0" w:lineRule="auto"/>
        <w:ind w:left="720"/>
        <w:jc w:val="both"/>
        <w:rPr/>
      </w:pPr>
      <w:r w:rsidDel="00000000" w:rsidR="00000000" w:rsidRPr="00000000">
        <w:rPr>
          <w:rtl w:val="0"/>
        </w:rPr>
      </w:r>
    </w:p>
    <w:p w:rsidR="00000000" w:rsidDel="00000000" w:rsidP="00000000" w:rsidRDefault="00000000" w:rsidRPr="00000000" w14:paraId="0000006D">
      <w:pPr>
        <w:numPr>
          <w:ilvl w:val="0"/>
          <w:numId w:val="3"/>
        </w:numPr>
        <w:spacing w:after="0" w:lineRule="auto"/>
        <w:ind w:left="720" w:hanging="360"/>
        <w:jc w:val="both"/>
        <w:rPr/>
      </w:pPr>
      <w:r w:rsidDel="00000000" w:rsidR="00000000" w:rsidRPr="00000000">
        <w:rPr>
          <w:rtl w:val="0"/>
        </w:rPr>
        <w:t xml:space="preserve">Los trabajadores sanitarios que recogen muestras clínicas deben llevar el Equipo de Protección Individual adecuado: para la extracción de sangre y toma de muestras que no generan aerosoles seguir las recomendaciones del apartado b, para muestras que generan aerosoles seguir las recomendaciones del apartado c.  El manejo de muestras para la realización de analíticas de rutina en el laboratorio (por ejemplo hemograma o bioquímica) se realizará de la forma habitual aplicando las precauciones estándar de control de la infección. </w:t>
      </w:r>
    </w:p>
    <w:p w:rsidR="00000000" w:rsidDel="00000000" w:rsidP="00000000" w:rsidRDefault="00000000" w:rsidRPr="00000000" w14:paraId="0000006E">
      <w:pPr>
        <w:spacing w:after="0" w:lineRule="auto"/>
        <w:jc w:val="both"/>
        <w:rPr/>
      </w:pPr>
      <w:r w:rsidDel="00000000" w:rsidR="00000000" w:rsidRPr="00000000">
        <w:rPr>
          <w:rtl w:val="0"/>
        </w:rPr>
      </w:r>
    </w:p>
    <w:p w:rsidR="00000000" w:rsidDel="00000000" w:rsidP="00000000" w:rsidRDefault="00000000" w:rsidRPr="00000000" w14:paraId="0000006F">
      <w:pPr>
        <w:numPr>
          <w:ilvl w:val="0"/>
          <w:numId w:val="3"/>
        </w:numPr>
        <w:spacing w:after="120" w:lineRule="auto"/>
        <w:ind w:left="720" w:hanging="360"/>
        <w:jc w:val="both"/>
        <w:rPr/>
      </w:pPr>
      <w:r w:rsidDel="00000000" w:rsidR="00000000" w:rsidRPr="00000000">
        <w:rPr>
          <w:rtl w:val="0"/>
        </w:rPr>
        <w:t xml:space="preserve">Se deben seguir los protocolos de descontaminación, mantenimiento y eliminación de residuos utilizados habitualmente para otro tipo de microorganismos con el riesgo de propagación y mecanismo de transmisión similar. Los residuos se consideran residuos de Clase III o como residuos Biosanitarios Especiales (se considerarán como residuo Biosanitario Especial del Grupo 3, similar a la tuberculosis). Las condiciones de manejo domiciliario de los residuos en los casos posibles se establecen en el procedimiento específico de manejo domiciliario. </w:t>
      </w:r>
    </w:p>
    <w:p w:rsidR="00000000" w:rsidDel="00000000" w:rsidP="00000000" w:rsidRDefault="00000000" w:rsidRPr="00000000" w14:paraId="00000070">
      <w:pPr>
        <w:numPr>
          <w:ilvl w:val="0"/>
          <w:numId w:val="3"/>
        </w:numPr>
        <w:spacing w:after="120" w:lineRule="auto"/>
        <w:ind w:left="720" w:hanging="360"/>
        <w:jc w:val="both"/>
        <w:rPr/>
      </w:pPr>
      <w:r w:rsidDel="00000000" w:rsidR="00000000" w:rsidRPr="00000000">
        <w:rPr>
          <w:rtl w:val="0"/>
        </w:rPr>
        <w:t xml:space="preserve">Se debe realizar la limpieza y desinfección de las superficies con las que ha estado en contacto el paciente y/o sus secreciones.  La limpieza y desinfección se realizará con un desinfectante incluido en la política de limpieza y desinfección del centro sanitario. Estos virus se inactivan tras 5 minutos de contacto con desinfectantes de uso por el público en general, como la lejía o con una solución de hipoclorito sódico que contenga 1000 ppm de cloro activo (dilución 1:50 de una lejía con concentración 40-50 gr/litro preparada recientemente). El personal de limpieza utilizará equipo de protección individual adecuado dependiendo del nivel de riesgo que se considere en cada situación. Las condiciones para el manejo de casos posibles se establecen en el procedimiento específico de manejo domiciliario. </w:t>
      </w:r>
    </w:p>
    <w:p w:rsidR="00000000" w:rsidDel="00000000" w:rsidP="00000000" w:rsidRDefault="00000000" w:rsidRPr="00000000" w14:paraId="00000071">
      <w:pPr>
        <w:numPr>
          <w:ilvl w:val="0"/>
          <w:numId w:val="3"/>
        </w:numPr>
        <w:spacing w:after="120" w:lineRule="auto"/>
        <w:ind w:left="720" w:hanging="360"/>
        <w:jc w:val="both"/>
        <w:rPr/>
      </w:pPr>
      <w:r w:rsidDel="00000000" w:rsidR="00000000" w:rsidRPr="00000000">
        <w:rPr>
          <w:rtl w:val="0"/>
        </w:rPr>
        <w:t xml:space="preserve">Un paciente podría excretar virus en heces y/o orina sin tener resultados positivos en sus muestras respiratorias. No es imprescindible la negativización de estas muestras para el alta, pero debe tenerse en cuenta a la hora de establecer las recomendaciones al alta. </w:t>
      </w:r>
    </w:p>
    <w:p w:rsidR="00000000" w:rsidDel="00000000" w:rsidP="00000000" w:rsidRDefault="00000000" w:rsidRPr="00000000" w14:paraId="00000072">
      <w:pPr>
        <w:rPr>
          <w:b w:val="1"/>
          <w:color w:val="002060"/>
          <w:sz w:val="20"/>
          <w:szCs w:val="20"/>
        </w:rPr>
      </w:pPr>
      <w:r w:rsidDel="00000000" w:rsidR="00000000" w:rsidRPr="00000000">
        <w:br w:type="page"/>
      </w:r>
      <w:r w:rsidDel="00000000" w:rsidR="00000000" w:rsidRPr="00000000">
        <w:rPr>
          <w:b w:val="1"/>
          <w:color w:val="002060"/>
          <w:rtl w:val="0"/>
        </w:rPr>
        <w:t xml:space="preserve">BIBLIOGRAFÍA</w:t>
      </w:r>
      <w:r w:rsidDel="00000000" w:rsidR="00000000" w:rsidRPr="00000000">
        <w:rPr>
          <w:rtl w:val="0"/>
        </w:rPr>
      </w:r>
    </w:p>
    <w:p w:rsidR="00000000" w:rsidDel="00000000" w:rsidP="00000000" w:rsidRDefault="00000000" w:rsidRPr="00000000" w14:paraId="00000073">
      <w:pPr>
        <w:tabs>
          <w:tab w:val="right" w:pos="540"/>
          <w:tab w:val="left" w:pos="720"/>
        </w:tabs>
        <w:ind w:left="720" w:hanging="720"/>
        <w:rPr>
          <w:sz w:val="20"/>
          <w:szCs w:val="20"/>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Chen H, Guo J, Wang C, Luo F, Yu X, Zhang W, et al. Clinical characteristics and intrauterine vertical transmission potential of COVID-19 infection in nine pregnant women: a retrospective review of medical records. The Lancet [Internet]. 12 de febrero de 2020 [citado 13 de febrero de 2020];0(0). Disponible en: </w:t>
      </w:r>
      <w:hyperlink r:id="rId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https://www.thelancet.com/journals/lancet/article/PIIS0140-6736(20)30360-3/abstract</w:t>
        </w:r>
      </w:hyperlink>
      <w:r w:rsidDel="00000000" w:rsidR="00000000" w:rsidRPr="00000000">
        <w:rPr>
          <w:rtl w:val="0"/>
        </w:rPr>
      </w:r>
    </w:p>
    <w:p w:rsidR="00000000" w:rsidDel="00000000" w:rsidP="00000000" w:rsidRDefault="00000000" w:rsidRPr="00000000" w14:paraId="00000075">
      <w:pPr>
        <w:rPr>
          <w:sz w:val="20"/>
          <w:szCs w:val="20"/>
        </w:rPr>
      </w:pPr>
      <w:r w:rsidDel="00000000" w:rsidR="00000000" w:rsidRPr="00000000">
        <w:rPr>
          <w:rtl w:val="0"/>
        </w:rPr>
      </w:r>
    </w:p>
    <w:p w:rsidR="00000000" w:rsidDel="00000000" w:rsidP="00000000" w:rsidRDefault="00000000" w:rsidRPr="00000000" w14:paraId="00000076">
      <w:pPr>
        <w:rPr>
          <w:sz w:val="20"/>
          <w:szCs w:val="20"/>
        </w:rPr>
      </w:pPr>
      <w:r w:rsidDel="00000000" w:rsidR="00000000" w:rsidRPr="00000000">
        <w:rPr>
          <w:sz w:val="20"/>
          <w:szCs w:val="20"/>
          <w:rtl w:val="0"/>
        </w:rPr>
        <w:t xml:space="preserve">Holshue ML, DeBolt C, Lindquist S, Lofy KH, Wiesman J, Bruce H, et al. First Case of 2019 Novel Coronavirus in the United States. N Engl J Med [Internet]. 31 de enero de 2020 [citado 6 de febrero de 2020];0(0):null. Disponible en: </w:t>
      </w:r>
      <w:hyperlink r:id="rId7">
        <w:r w:rsidDel="00000000" w:rsidR="00000000" w:rsidRPr="00000000">
          <w:rPr>
            <w:color w:val="0000ff"/>
            <w:sz w:val="20"/>
            <w:szCs w:val="20"/>
            <w:u w:val="single"/>
            <w:rtl w:val="0"/>
          </w:rPr>
          <w:t xml:space="preserve">https://doi.org/10.1056/NEJMoa2001191</w:t>
        </w:r>
      </w:hyperlink>
      <w:r w:rsidDel="00000000" w:rsidR="00000000" w:rsidRPr="00000000">
        <w:rPr>
          <w:rtl w:val="0"/>
        </w:rPr>
      </w:r>
    </w:p>
    <w:p w:rsidR="00000000" w:rsidDel="00000000" w:rsidP="00000000" w:rsidRDefault="00000000" w:rsidRPr="00000000" w14:paraId="00000077">
      <w:pPr>
        <w:rPr>
          <w:sz w:val="20"/>
          <w:szCs w:val="20"/>
        </w:rPr>
      </w:pPr>
      <w:r w:rsidDel="00000000" w:rsidR="00000000" w:rsidRPr="00000000">
        <w:rPr>
          <w:rtl w:val="0"/>
        </w:rPr>
      </w:r>
    </w:p>
    <w:p w:rsidR="00000000" w:rsidDel="00000000" w:rsidP="00000000" w:rsidRDefault="00000000" w:rsidRPr="00000000" w14:paraId="00000078">
      <w:pPr>
        <w:rPr>
          <w:sz w:val="20"/>
          <w:szCs w:val="20"/>
        </w:rPr>
      </w:pPr>
      <w:r w:rsidDel="00000000" w:rsidR="00000000" w:rsidRPr="00000000">
        <w:rPr>
          <w:sz w:val="20"/>
          <w:szCs w:val="20"/>
          <w:rtl w:val="0"/>
        </w:rPr>
        <w:t xml:space="preserve">Hung LS. The SARS epidemic in Hong Kong: what lessons have we learned? J R Soc Med [Internet]. agosto de 2003 [citado 6 de febrero de 2020];96(8):374-8. Disponible en: </w:t>
      </w:r>
      <w:hyperlink r:id="rId8">
        <w:r w:rsidDel="00000000" w:rsidR="00000000" w:rsidRPr="00000000">
          <w:rPr>
            <w:color w:val="0000ff"/>
            <w:sz w:val="20"/>
            <w:szCs w:val="20"/>
            <w:u w:val="single"/>
            <w:rtl w:val="0"/>
          </w:rPr>
          <w:t xml:space="preserve">https://www.ncbi.nlm.nih.gov/pmc/articles/PMC539564/</w:t>
        </w:r>
      </w:hyperlink>
      <w:r w:rsidDel="00000000" w:rsidR="00000000" w:rsidRPr="00000000">
        <w:rPr>
          <w:rtl w:val="0"/>
        </w:rPr>
      </w:r>
    </w:p>
    <w:p w:rsidR="00000000" w:rsidDel="00000000" w:rsidP="00000000" w:rsidRDefault="00000000" w:rsidRPr="00000000" w14:paraId="00000079">
      <w:pPr>
        <w:rPr>
          <w:sz w:val="20"/>
          <w:szCs w:val="20"/>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Kampf G, Todt D, Pfaender S, Steinmann E. Persistence of coronaviruses on inanimate surfaces and its inactivation with biocidal agents. J Hosp Infect. 6 de febrero de 2020;</w:t>
      </w:r>
    </w:p>
    <w:p w:rsidR="00000000" w:rsidDel="00000000" w:rsidP="00000000" w:rsidRDefault="00000000" w:rsidRPr="00000000" w14:paraId="0000007B">
      <w:pPr>
        <w:shd w:fill="ffffff" w:val="clear"/>
        <w:spacing w:before="240" w:lineRule="auto"/>
        <w:jc w:val="both"/>
        <w:rPr>
          <w:color w:val="0070c0"/>
          <w:sz w:val="20"/>
          <w:szCs w:val="20"/>
          <w:u w:val="single"/>
        </w:rPr>
      </w:pPr>
      <w:r w:rsidDel="00000000" w:rsidR="00000000" w:rsidRPr="00000000">
        <w:rPr>
          <w:color w:val="222222"/>
          <w:sz w:val="20"/>
          <w:szCs w:val="20"/>
          <w:rtl w:val="0"/>
        </w:rPr>
        <w:t xml:space="preserve">Siegel JD, Rhinehart E, Jackson M, Chiarello L, and the Healthcare Infection Control Practices Advisory Committee. 2007 Guideline for Isolation Precautions: Preventing Transmission of Infectious Agents in Healthcare Settings. Last update: July 2019 </w:t>
      </w:r>
      <w:hyperlink r:id="rId9">
        <w:r w:rsidDel="00000000" w:rsidR="00000000" w:rsidRPr="00000000">
          <w:rPr>
            <w:color w:val="0070c0"/>
            <w:sz w:val="20"/>
            <w:szCs w:val="20"/>
            <w:u w:val="single"/>
            <w:rtl w:val="0"/>
          </w:rPr>
          <w:t xml:space="preserve">https://www.cdc.gov/infectioncontrol/pdf/guidelines/isolation-guidelines-H.pdf</w:t>
        </w:r>
      </w:hyperlink>
      <w:r w:rsidDel="00000000" w:rsidR="00000000" w:rsidRPr="00000000">
        <w:rPr>
          <w:rtl w:val="0"/>
        </w:rPr>
      </w:r>
    </w:p>
    <w:p w:rsidR="00000000" w:rsidDel="00000000" w:rsidP="00000000" w:rsidRDefault="00000000" w:rsidRPr="00000000" w14:paraId="0000007C">
      <w:pPr>
        <w:shd w:fill="ffffff" w:val="clear"/>
        <w:spacing w:before="240" w:lineRule="auto"/>
        <w:jc w:val="both"/>
        <w:rPr>
          <w:sz w:val="20"/>
          <w:szCs w:val="20"/>
        </w:rPr>
      </w:pPr>
      <w:r w:rsidDel="00000000" w:rsidR="00000000" w:rsidRPr="00000000">
        <w:rPr>
          <w:sz w:val="20"/>
          <w:szCs w:val="20"/>
          <w:rtl w:val="0"/>
        </w:rPr>
        <w:t xml:space="preserve">To KK-W, Tsang OT-Y, Chik-Yan Yip C, Chan K-H, Wu T-C, Chan JMC, et al. Consistent detection of 2019 novel coronavirus in saliva. Clin Infect Dis Off Publ Infect Dis Soc Am. 12 de febrero de 2020</w:t>
      </w:r>
    </w:p>
    <w:p w:rsidR="00000000" w:rsidDel="00000000" w:rsidP="00000000" w:rsidRDefault="00000000" w:rsidRPr="00000000" w14:paraId="0000007D">
      <w:pPr>
        <w:rPr>
          <w:sz w:val="20"/>
          <w:szCs w:val="20"/>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World health Organization. Report of the WHO-China Joint Mission on Coronavirus Disease 2019 (COVID-19) [Internet]. 2020. Disponible en: https://www.who.int/docs/default-source/coronaviruse/who-china-joint-mission-on-covid-19-final-report.pdf</w:t>
      </w:r>
    </w:p>
    <w:p w:rsidR="00000000" w:rsidDel="00000000" w:rsidP="00000000" w:rsidRDefault="00000000" w:rsidRPr="00000000" w14:paraId="0000007F">
      <w:pPr>
        <w:shd w:fill="ffffff" w:val="clear"/>
        <w:spacing w:before="240" w:lineRule="auto"/>
        <w:jc w:val="both"/>
        <w:rPr>
          <w:color w:val="222222"/>
          <w:sz w:val="20"/>
          <w:szCs w:val="20"/>
        </w:rPr>
      </w:pPr>
      <w:r w:rsidDel="00000000" w:rsidR="00000000" w:rsidRPr="00000000">
        <w:rPr>
          <w:color w:val="222222"/>
          <w:sz w:val="20"/>
          <w:szCs w:val="20"/>
          <w:rtl w:val="0"/>
        </w:rPr>
        <w:t xml:space="preserve">WHO. Global Surveillance for human infection with novel coronavirus (2019-nCoV). Interim guidance 31 January 2020. </w:t>
      </w:r>
      <w:hyperlink r:id="rId10">
        <w:r w:rsidDel="00000000" w:rsidR="00000000" w:rsidRPr="00000000">
          <w:rPr>
            <w:color w:val="0070c0"/>
            <w:sz w:val="20"/>
            <w:szCs w:val="20"/>
            <w:u w:val="single"/>
            <w:rtl w:val="0"/>
          </w:rPr>
          <w:t xml:space="preserve">https://www.who.int/publications-detail/global-surveillance-for-human-infection-with-novel-coronavirus-(2019-ncov)</w:t>
        </w:r>
      </w:hyperlink>
      <w:r w:rsidDel="00000000" w:rsidR="00000000" w:rsidRPr="00000000">
        <w:rPr>
          <w:rtl w:val="0"/>
        </w:rPr>
      </w:r>
    </w:p>
    <w:p w:rsidR="00000000" w:rsidDel="00000000" w:rsidP="00000000" w:rsidRDefault="00000000" w:rsidRPr="00000000" w14:paraId="00000080">
      <w:pPr>
        <w:shd w:fill="ffffff" w:val="clear"/>
        <w:spacing w:before="240" w:lineRule="auto"/>
        <w:jc w:val="both"/>
        <w:rPr>
          <w:color w:val="222222"/>
          <w:sz w:val="20"/>
          <w:szCs w:val="20"/>
        </w:rPr>
      </w:pPr>
      <w:r w:rsidDel="00000000" w:rsidR="00000000" w:rsidRPr="00000000">
        <w:rPr>
          <w:color w:val="222222"/>
          <w:sz w:val="20"/>
          <w:szCs w:val="20"/>
          <w:rtl w:val="0"/>
        </w:rPr>
        <w:t xml:space="preserve">WHO. Laboratory testing for 2019 novel coronavirus (2019-nCoV) in suspected human cases. Interim guidance. 17 January 2020. </w:t>
      </w:r>
      <w:hyperlink r:id="rId11">
        <w:r w:rsidDel="00000000" w:rsidR="00000000" w:rsidRPr="00000000">
          <w:rPr>
            <w:color w:val="1155cc"/>
            <w:sz w:val="20"/>
            <w:szCs w:val="20"/>
            <w:u w:val="single"/>
            <w:rtl w:val="0"/>
          </w:rPr>
          <w:t xml:space="preserve">https://www.who.int/publications-detail/laboratory-testing-for-2019-novel-coronavirus-in-suspected-human-cases-20200117</w:t>
        </w:r>
      </w:hyperlink>
      <w:r w:rsidDel="00000000" w:rsidR="00000000" w:rsidRPr="00000000">
        <w:rPr>
          <w:rtl w:val="0"/>
        </w:rPr>
      </w:r>
    </w:p>
    <w:p w:rsidR="00000000" w:rsidDel="00000000" w:rsidP="00000000" w:rsidRDefault="00000000" w:rsidRPr="00000000" w14:paraId="00000081">
      <w:pPr>
        <w:shd w:fill="ffffff" w:val="clear"/>
        <w:spacing w:before="240" w:lineRule="auto"/>
        <w:jc w:val="both"/>
        <w:rPr>
          <w:color w:val="222222"/>
          <w:sz w:val="20"/>
          <w:szCs w:val="20"/>
        </w:rPr>
      </w:pPr>
      <w:r w:rsidDel="00000000" w:rsidR="00000000" w:rsidRPr="00000000">
        <w:rPr>
          <w:color w:val="222222"/>
          <w:sz w:val="20"/>
          <w:szCs w:val="20"/>
          <w:rtl w:val="0"/>
        </w:rPr>
        <w:t xml:space="preserve">WHO. Infection prevention and control during health care when novel coronavirus (nCoV) infection is suspected. Interim guidance- January 2020. </w:t>
      </w:r>
      <w:hyperlink r:id="rId12">
        <w:r w:rsidDel="00000000" w:rsidR="00000000" w:rsidRPr="00000000">
          <w:rPr>
            <w:color w:val="0070c0"/>
            <w:sz w:val="20"/>
            <w:szCs w:val="20"/>
            <w:u w:val="single"/>
            <w:rtl w:val="0"/>
          </w:rPr>
          <w:t xml:space="preserve">https://apps.who.int/iris/bitstream/handle/10665/330375/WHO-2019-nCoV-IPC-v2020.1-eng.pdf</w:t>
        </w:r>
      </w:hyperlink>
      <w:r w:rsidDel="00000000" w:rsidR="00000000" w:rsidRPr="00000000">
        <w:rPr>
          <w:rtl w:val="0"/>
        </w:rPr>
      </w:r>
    </w:p>
    <w:p w:rsidR="00000000" w:rsidDel="00000000" w:rsidP="00000000" w:rsidRDefault="00000000" w:rsidRPr="00000000" w14:paraId="00000082">
      <w:pPr>
        <w:shd w:fill="ffffff" w:val="clear"/>
        <w:spacing w:before="240" w:lineRule="auto"/>
        <w:jc w:val="both"/>
        <w:rPr>
          <w:color w:val="222222"/>
          <w:sz w:val="20"/>
          <w:szCs w:val="20"/>
        </w:rPr>
      </w:pPr>
      <w:r w:rsidDel="00000000" w:rsidR="00000000" w:rsidRPr="00000000">
        <w:rPr>
          <w:color w:val="222222"/>
          <w:sz w:val="20"/>
          <w:szCs w:val="20"/>
          <w:rtl w:val="0"/>
        </w:rPr>
        <w:t xml:space="preserve">WHO. Home care for patients with suspected novel coronavirus (nCoV) infection presenting with mild symptoms and management of contacts. </w:t>
      </w:r>
      <w:hyperlink r:id="rId13">
        <w:r w:rsidDel="00000000" w:rsidR="00000000" w:rsidRPr="00000000">
          <w:rPr>
            <w:color w:val="0070c0"/>
            <w:sz w:val="20"/>
            <w:szCs w:val="20"/>
            <w:u w:val="single"/>
            <w:rtl w:val="0"/>
          </w:rPr>
          <w:t xml:space="preserve">https://www.who.int/internal-publications-detail/home-care-for-patients-with-suspected-novel-coronavirus-(nCoV)-infection-presenting-with-mild-symptoms-and-management-of-contacts</w:t>
        </w:r>
      </w:hyperlink>
      <w:r w:rsidDel="00000000" w:rsidR="00000000" w:rsidRPr="00000000">
        <w:rPr>
          <w:rtl w:val="0"/>
        </w:rPr>
      </w:r>
    </w:p>
    <w:p w:rsidR="00000000" w:rsidDel="00000000" w:rsidP="00000000" w:rsidRDefault="00000000" w:rsidRPr="00000000" w14:paraId="00000083">
      <w:pPr>
        <w:rPr>
          <w:color w:val="222222"/>
          <w:sz w:val="20"/>
          <w:szCs w:val="20"/>
        </w:rPr>
      </w:pPr>
      <w:r w:rsidDel="00000000" w:rsidR="00000000" w:rsidRPr="00000000">
        <w:rPr>
          <w:rtl w:val="0"/>
        </w:rPr>
      </w:r>
    </w:p>
    <w:p w:rsidR="00000000" w:rsidDel="00000000" w:rsidP="00000000" w:rsidRDefault="00000000" w:rsidRPr="00000000" w14:paraId="00000084">
      <w:pPr>
        <w:rPr>
          <w:color w:val="0070c0"/>
          <w:sz w:val="20"/>
          <w:szCs w:val="20"/>
          <w:u w:val="single"/>
        </w:rPr>
      </w:pPr>
      <w:r w:rsidDel="00000000" w:rsidR="00000000" w:rsidRPr="00000000">
        <w:rPr>
          <w:color w:val="222222"/>
          <w:sz w:val="20"/>
          <w:szCs w:val="20"/>
          <w:rtl w:val="0"/>
        </w:rPr>
        <w:t xml:space="preserve">WHO. Statement on the second meeting of the International Health Regulations (2005) Emergency Committee regarding the outbreak of novel coronavirus (2019-nCoV). 30 January 2020. </w:t>
      </w:r>
      <w:hyperlink r:id="rId14">
        <w:r w:rsidDel="00000000" w:rsidR="00000000" w:rsidRPr="00000000">
          <w:rPr>
            <w:color w:val="0070c0"/>
            <w:sz w:val="20"/>
            <w:szCs w:val="20"/>
            <w:u w:val="single"/>
            <w:rtl w:val="0"/>
          </w:rPr>
          <w:t xml:space="preserve">https://www.who.int/news-room/detail/30-01-2020-statement-on-the-second-meeting-of-the-international-health-regulations-(2005)-emergency-committee-regarding-the-outbreak-of-novel-coronavirus-(2019-ncov)</w:t>
        </w:r>
      </w:hyperlink>
      <w:r w:rsidDel="00000000" w:rsidR="00000000" w:rsidRPr="00000000">
        <w:rPr>
          <w:rtl w:val="0"/>
        </w:rPr>
      </w:r>
    </w:p>
    <w:p w:rsidR="00000000" w:rsidDel="00000000" w:rsidP="00000000" w:rsidRDefault="00000000" w:rsidRPr="00000000" w14:paraId="00000085">
      <w:pPr>
        <w:ind w:left="284"/>
        <w:rPr>
          <w:color w:val="0070c0"/>
          <w:sz w:val="20"/>
          <w:szCs w:val="20"/>
          <w:u w:val="single"/>
        </w:rPr>
      </w:pPr>
      <w:r w:rsidDel="00000000" w:rsidR="00000000" w:rsidRPr="00000000">
        <w:rPr>
          <w:rtl w:val="0"/>
        </w:rPr>
      </w:r>
    </w:p>
    <w:p w:rsidR="00000000" w:rsidDel="00000000" w:rsidP="00000000" w:rsidRDefault="00000000" w:rsidRPr="00000000" w14:paraId="00000086">
      <w:pPr>
        <w:ind w:left="284"/>
        <w:rPr>
          <w:color w:val="0070c0"/>
          <w:sz w:val="20"/>
          <w:szCs w:val="20"/>
          <w:u w:val="single"/>
        </w:rPr>
      </w:pPr>
      <w:r w:rsidDel="00000000" w:rsidR="00000000" w:rsidRPr="00000000">
        <w:rPr>
          <w:rtl w:val="0"/>
        </w:rPr>
      </w:r>
    </w:p>
    <w:p w:rsidR="00000000" w:rsidDel="00000000" w:rsidP="00000000" w:rsidRDefault="00000000" w:rsidRPr="00000000" w14:paraId="00000087">
      <w:pPr>
        <w:rPr>
          <w:color w:val="000000"/>
          <w:sz w:val="20"/>
          <w:szCs w:val="20"/>
        </w:rPr>
      </w:pPr>
      <w:r w:rsidDel="00000000" w:rsidR="00000000" w:rsidRPr="00000000">
        <w:rPr>
          <w:color w:val="000000"/>
          <w:sz w:val="20"/>
          <w:szCs w:val="20"/>
          <w:rtl w:val="0"/>
        </w:rPr>
        <w:t xml:space="preserve">World health Organization. Water, sanitation, hygiene and waste management for COVID-19 [Internet]. 2020. Disponible en: </w:t>
      </w:r>
      <w:hyperlink r:id="rId15">
        <w:r w:rsidDel="00000000" w:rsidR="00000000" w:rsidRPr="00000000">
          <w:rPr>
            <w:color w:val="0000ff"/>
            <w:sz w:val="20"/>
            <w:szCs w:val="20"/>
            <w:u w:val="single"/>
            <w:rtl w:val="0"/>
          </w:rPr>
          <w:t xml:space="preserve">https://apps.who.int/iris/bitstream/handle/10665/331305/WHO-2019-NcOV-IPC_WASH-2020.1-eng.pdf?sequence=1&amp;isAllowed=y</w:t>
        </w:r>
      </w:hyperlink>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Yeo C, Kaushal S, Yeo D. Enteric involvement of coronaviruses: is faecal-oral transmission of SARS-CoV-2 possible? Lancet Gastroenterol Hepatol. 19 de febrero de 2020; </w:t>
      </w:r>
    </w:p>
    <w:p w:rsidR="00000000" w:rsidDel="00000000" w:rsidP="00000000" w:rsidRDefault="00000000" w:rsidRPr="00000000" w14:paraId="0000008A">
      <w:pPr>
        <w:rPr>
          <w:sz w:val="20"/>
          <w:szCs w:val="20"/>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ffffff" w:val="clear"/>
        <w:spacing w:after="0" w:before="240" w:line="240" w:lineRule="auto"/>
        <w:ind w:left="1004"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C">
      <w:pPr>
        <w:tabs>
          <w:tab w:val="right" w:pos="540"/>
          <w:tab w:val="left" w:pos="720"/>
        </w:tabs>
        <w:ind w:left="720" w:hanging="720"/>
        <w:rPr>
          <w:sz w:val="20"/>
          <w:szCs w:val="20"/>
        </w:rPr>
      </w:pPr>
      <w:r w:rsidDel="00000000" w:rsidR="00000000" w:rsidRPr="00000000">
        <w:rPr>
          <w:rtl w:val="0"/>
        </w:rPr>
      </w:r>
    </w:p>
    <w:p w:rsidR="00000000" w:rsidDel="00000000" w:rsidP="00000000" w:rsidRDefault="00000000" w:rsidRPr="00000000" w14:paraId="0000008D">
      <w:pPr>
        <w:tabs>
          <w:tab w:val="right" w:pos="540"/>
          <w:tab w:val="left" w:pos="720"/>
        </w:tabs>
        <w:ind w:left="720" w:hanging="720"/>
        <w:rPr/>
      </w:pPr>
      <w:r w:rsidDel="00000000" w:rsidR="00000000" w:rsidRPr="00000000">
        <w:rPr>
          <w:rtl w:val="0"/>
        </w:rPr>
      </w:r>
    </w:p>
    <w:p w:rsidR="00000000" w:rsidDel="00000000" w:rsidP="00000000" w:rsidRDefault="00000000" w:rsidRPr="00000000" w14:paraId="0000008E">
      <w:pPr>
        <w:tabs>
          <w:tab w:val="right" w:pos="540"/>
          <w:tab w:val="left" w:pos="720"/>
        </w:tabs>
        <w:ind w:left="720" w:hanging="720"/>
        <w:rPr/>
      </w:pPr>
      <w:r w:rsidDel="00000000" w:rsidR="00000000" w:rsidRPr="00000000">
        <w:rPr>
          <w:rtl w:val="0"/>
        </w:rPr>
      </w:r>
    </w:p>
    <w:p w:rsidR="00000000" w:rsidDel="00000000" w:rsidP="00000000" w:rsidRDefault="00000000" w:rsidRPr="00000000" w14:paraId="0000008F">
      <w:pPr>
        <w:tabs>
          <w:tab w:val="right" w:pos="540"/>
          <w:tab w:val="left" w:pos="720"/>
        </w:tabs>
        <w:ind w:left="720" w:hanging="720"/>
        <w:rPr/>
      </w:pPr>
      <w:r w:rsidDel="00000000" w:rsidR="00000000" w:rsidRPr="00000000">
        <w:rPr>
          <w:rtl w:val="0"/>
        </w:rPr>
      </w:r>
    </w:p>
    <w:p w:rsidR="00000000" w:rsidDel="00000000" w:rsidP="00000000" w:rsidRDefault="00000000" w:rsidRPr="00000000" w14:paraId="00000090">
      <w:pPr>
        <w:tabs>
          <w:tab w:val="right" w:pos="540"/>
          <w:tab w:val="left" w:pos="720"/>
        </w:tabs>
        <w:ind w:left="720" w:hanging="720"/>
        <w:rPr/>
      </w:pPr>
      <w:r w:rsidDel="00000000" w:rsidR="00000000" w:rsidRPr="00000000">
        <w:rPr>
          <w:rtl w:val="0"/>
        </w:rPr>
      </w:r>
    </w:p>
    <w:p w:rsidR="00000000" w:rsidDel="00000000" w:rsidP="00000000" w:rsidRDefault="00000000" w:rsidRPr="00000000" w14:paraId="00000091">
      <w:pPr>
        <w:tabs>
          <w:tab w:val="right" w:pos="540"/>
          <w:tab w:val="left" w:pos="720"/>
        </w:tabs>
        <w:ind w:left="720" w:hanging="720"/>
        <w:rPr/>
      </w:pPr>
      <w:r w:rsidDel="00000000" w:rsidR="00000000" w:rsidRPr="00000000">
        <w:rPr>
          <w:rtl w:val="0"/>
        </w:rPr>
      </w:r>
    </w:p>
    <w:p w:rsidR="00000000" w:rsidDel="00000000" w:rsidP="00000000" w:rsidRDefault="00000000" w:rsidRPr="00000000" w14:paraId="00000092">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93">
      <w:pPr>
        <w:ind w:hanging="567"/>
        <w:rPr/>
      </w:pPr>
      <w:r w:rsidDel="00000000" w:rsidR="00000000" w:rsidRPr="00000000">
        <w:rPr>
          <w:rtl w:val="0"/>
        </w:rPr>
      </w:r>
    </w:p>
    <w:p w:rsidR="00000000" w:rsidDel="00000000" w:rsidP="00000000" w:rsidRDefault="00000000" w:rsidRPr="00000000" w14:paraId="00000094">
      <w:pPr>
        <w:ind w:hanging="567"/>
        <w:rPr/>
      </w:pPr>
      <w:r w:rsidDel="00000000" w:rsidR="00000000" w:rsidRPr="00000000">
        <w:rPr>
          <w:rtl w:val="0"/>
        </w:rPr>
      </w:r>
    </w:p>
    <w:p w:rsidR="00000000" w:rsidDel="00000000" w:rsidP="00000000" w:rsidRDefault="00000000" w:rsidRPr="00000000" w14:paraId="00000095">
      <w:pPr>
        <w:spacing w:line="360" w:lineRule="auto"/>
        <w:jc w:val="both"/>
        <w:rPr>
          <w:b w:val="1"/>
          <w:smallCaps w:val="1"/>
        </w:rPr>
      </w:pPr>
      <w:r w:rsidDel="00000000" w:rsidR="00000000" w:rsidRPr="00000000">
        <w:rPr>
          <w:b w:val="1"/>
          <w:smallCaps w:val="1"/>
          <w:rtl w:val="0"/>
        </w:rPr>
        <w:t xml:space="preserve">ANEXO 1: TRANSPORTE Y RECOMENDACIONES DE MANEJO DE MUESTRAS BIOLÓGICAS CON INFECCIÓN O SOSPECHA DE INFECCIÓN POR SARS-COV-2. </w:t>
      </w:r>
    </w:p>
    <w:p w:rsidR="00000000" w:rsidDel="00000000" w:rsidP="00000000" w:rsidRDefault="00000000" w:rsidRPr="00000000" w14:paraId="0000009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7">
      <w:pPr>
        <w:shd w:fill="ffffff" w:val="clear"/>
        <w:tabs>
          <w:tab w:val="left" w:pos="9214"/>
        </w:tabs>
        <w:spacing w:line="276" w:lineRule="auto"/>
        <w:ind w:right="142"/>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2060"/>
          <w:sz w:val="22"/>
          <w:szCs w:val="22"/>
          <w:u w:val="none"/>
          <w:shd w:fill="auto" w:val="clear"/>
          <w:vertAlign w:val="baseline"/>
          <w:rtl w:val="0"/>
        </w:rPr>
        <w:t xml:space="preserve">INSTRUCCIONES PARA EL TRANSPORTE DE MUESTRAS BIOLÓGICAS A OTRO CENTRO DIFERENTE AL LUGAR DE LA TOMA DE MUESTRA</w:t>
      </w:r>
      <w:r w:rsidDel="00000000" w:rsidR="00000000" w:rsidRPr="00000000">
        <w:rPr>
          <w:rtl w:val="0"/>
        </w:rPr>
      </w:r>
    </w:p>
    <w:p w:rsidR="00000000" w:rsidDel="00000000" w:rsidP="00000000" w:rsidRDefault="00000000" w:rsidRPr="00000000" w14:paraId="00000099">
      <w:pPr>
        <w:spacing w:line="360" w:lineRule="auto"/>
        <w:rPr>
          <w:b w:val="1"/>
          <w:color w:val="002060"/>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9214"/>
        </w:tabs>
        <w:spacing w:after="0" w:before="0" w:line="276" w:lineRule="auto"/>
        <w:ind w:left="284" w:right="142" w:hanging="284"/>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Categorización de la muestra:</w:t>
      </w:r>
    </w:p>
    <w:p w:rsidR="00000000" w:rsidDel="00000000" w:rsidP="00000000" w:rsidRDefault="00000000" w:rsidRPr="00000000" w14:paraId="0000009B">
      <w:pPr>
        <w:tabs>
          <w:tab w:val="left" w:pos="9214"/>
        </w:tabs>
        <w:spacing w:line="276" w:lineRule="auto"/>
        <w:ind w:right="142"/>
        <w:jc w:val="both"/>
        <w:rPr>
          <w:b w:val="1"/>
        </w:rPr>
      </w:pPr>
      <w:r w:rsidDel="00000000" w:rsidR="00000000" w:rsidRPr="00000000">
        <w:rPr>
          <w:rtl w:val="0"/>
        </w:rPr>
      </w:r>
    </w:p>
    <w:p w:rsidR="00000000" w:rsidDel="00000000" w:rsidP="00000000" w:rsidRDefault="00000000" w:rsidRPr="00000000" w14:paraId="0000009C">
      <w:pPr>
        <w:tabs>
          <w:tab w:val="left" w:pos="9214"/>
        </w:tabs>
        <w:spacing w:line="276" w:lineRule="auto"/>
        <w:ind w:right="142"/>
        <w:jc w:val="both"/>
        <w:rPr/>
      </w:pPr>
      <w:r w:rsidDel="00000000" w:rsidR="00000000" w:rsidRPr="00000000">
        <w:rPr>
          <w:rtl w:val="0"/>
        </w:rPr>
        <w:t xml:space="preserve">Las muestras biológicas procedentes de pacientes infectados o con sospecha de infección por el SARS-CoV-2 son clasificadas como </w:t>
      </w:r>
      <w:r w:rsidDel="00000000" w:rsidR="00000000" w:rsidRPr="00000000">
        <w:rPr>
          <w:b w:val="1"/>
          <w:rtl w:val="0"/>
        </w:rPr>
        <w:t xml:space="preserve">sustancias infecciosas de categoría B</w:t>
      </w:r>
      <w:r w:rsidDel="00000000" w:rsidR="00000000" w:rsidRPr="00000000">
        <w:rPr>
          <w:rtl w:val="0"/>
        </w:rPr>
        <w:t xml:space="preserve"> (1). </w:t>
      </w:r>
    </w:p>
    <w:p w:rsidR="00000000" w:rsidDel="00000000" w:rsidP="00000000" w:rsidRDefault="00000000" w:rsidRPr="00000000" w14:paraId="0000009D">
      <w:pPr>
        <w:tabs>
          <w:tab w:val="left" w:pos="9214"/>
        </w:tabs>
        <w:spacing w:line="276" w:lineRule="auto"/>
        <w:ind w:left="708" w:right="142"/>
        <w:jc w:val="both"/>
        <w:rPr>
          <w:b w:val="1"/>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9214"/>
        </w:tabs>
        <w:spacing w:after="0" w:before="0" w:line="276" w:lineRule="auto"/>
        <w:ind w:left="284" w:right="142" w:hanging="284"/>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Embalaje de las muestras:</w:t>
      </w:r>
    </w:p>
    <w:p w:rsidR="00000000" w:rsidDel="00000000" w:rsidP="00000000" w:rsidRDefault="00000000" w:rsidRPr="00000000" w14:paraId="0000009F">
      <w:pPr>
        <w:tabs>
          <w:tab w:val="left" w:pos="9214"/>
        </w:tabs>
        <w:spacing w:line="276" w:lineRule="auto"/>
        <w:ind w:right="142"/>
        <w:jc w:val="both"/>
        <w:rPr>
          <w:b w:val="1"/>
        </w:rPr>
      </w:pPr>
      <w:r w:rsidDel="00000000" w:rsidR="00000000" w:rsidRPr="00000000">
        <w:rPr>
          <w:rtl w:val="0"/>
        </w:rPr>
      </w:r>
    </w:p>
    <w:p w:rsidR="00000000" w:rsidDel="00000000" w:rsidP="00000000" w:rsidRDefault="00000000" w:rsidRPr="00000000" w14:paraId="000000A0">
      <w:pPr>
        <w:tabs>
          <w:tab w:val="left" w:pos="9214"/>
        </w:tabs>
        <w:spacing w:line="276" w:lineRule="auto"/>
        <w:ind w:right="142"/>
        <w:jc w:val="both"/>
        <w:rPr/>
      </w:pPr>
      <w:r w:rsidDel="00000000" w:rsidR="00000000" w:rsidRPr="00000000">
        <w:rPr>
          <w:rtl w:val="0"/>
        </w:rPr>
        <w:t xml:space="preserve">Deben ser transportadas a los centros de diagnósticos (Centro Nacional de Microbiología y/o laboratorios de referencia) de acuerdo a la </w:t>
      </w:r>
      <w:r w:rsidDel="00000000" w:rsidR="00000000" w:rsidRPr="00000000">
        <w:rPr>
          <w:b w:val="1"/>
          <w:rtl w:val="0"/>
        </w:rPr>
        <w:t xml:space="preserve">instrucción de embalaje P650 </w:t>
      </w:r>
      <w:r w:rsidDel="00000000" w:rsidR="00000000" w:rsidRPr="00000000">
        <w:rPr>
          <w:rtl w:val="0"/>
        </w:rPr>
        <w:t xml:space="preserve">del Acuerdo ADR (2) (3) que se aplica a la norma </w:t>
      </w:r>
      <w:r w:rsidDel="00000000" w:rsidR="00000000" w:rsidRPr="00000000">
        <w:rPr>
          <w:b w:val="1"/>
          <w:rtl w:val="0"/>
        </w:rPr>
        <w:t xml:space="preserve">UN 3373</w:t>
      </w:r>
      <w:r w:rsidDel="00000000" w:rsidR="00000000" w:rsidRPr="00000000">
        <w:rPr>
          <w:rtl w:val="0"/>
        </w:rPr>
        <w:t xml:space="preserve"> para el embalaje de sustancias peligrosas [la instrucción de embalaje P650 equivale a la instrucción 650 IATA (4)]. </w:t>
      </w:r>
    </w:p>
    <w:p w:rsidR="00000000" w:rsidDel="00000000" w:rsidP="00000000" w:rsidRDefault="00000000" w:rsidRPr="00000000" w14:paraId="000000A1">
      <w:pPr>
        <w:tabs>
          <w:tab w:val="left" w:pos="9214"/>
        </w:tabs>
        <w:spacing w:line="276" w:lineRule="auto"/>
        <w:ind w:right="142"/>
        <w:jc w:val="both"/>
        <w:rPr/>
      </w:pPr>
      <w:r w:rsidDel="00000000" w:rsidR="00000000" w:rsidRPr="00000000">
        <w:rPr>
          <w:rtl w:val="0"/>
        </w:rPr>
      </w:r>
    </w:p>
    <w:p w:rsidR="00000000" w:rsidDel="00000000" w:rsidP="00000000" w:rsidRDefault="00000000" w:rsidRPr="00000000" w14:paraId="000000A2">
      <w:pPr>
        <w:tabs>
          <w:tab w:val="left" w:pos="9214"/>
        </w:tabs>
        <w:spacing w:line="276" w:lineRule="auto"/>
        <w:ind w:right="142"/>
        <w:jc w:val="both"/>
        <w:rPr/>
      </w:pPr>
      <w:r w:rsidDel="00000000" w:rsidR="00000000" w:rsidRPr="00000000">
        <w:rPr>
          <w:rtl w:val="0"/>
        </w:rPr>
        <w:t xml:space="preserve">La norma UN 3733 establece que la muestra sea transportada en </w:t>
      </w:r>
      <w:r w:rsidDel="00000000" w:rsidR="00000000" w:rsidRPr="00000000">
        <w:rPr>
          <w:b w:val="1"/>
          <w:rtl w:val="0"/>
        </w:rPr>
        <w:t xml:space="preserve">triple envase</w:t>
      </w:r>
      <w:r w:rsidDel="00000000" w:rsidR="00000000" w:rsidRPr="00000000">
        <w:rPr>
          <w:rtl w:val="0"/>
        </w:rPr>
        <w:t xml:space="preserve">, robusto y que soporte golpes y cargas habituales del transporte, incluyendo el trasbordo entre vehículos, contenedores y almacén o la manipulación manual o mecánica. Los embalajes se construirán y cerrarán de forma que se evite cualquier fuga de su contenido, en las condiciones normales de transporte, por vibración o por cambios de temperatura, humedad o presión.</w:t>
      </w:r>
    </w:p>
    <w:p w:rsidR="00000000" w:rsidDel="00000000" w:rsidP="00000000" w:rsidRDefault="00000000" w:rsidRPr="00000000" w14:paraId="000000A3">
      <w:pPr>
        <w:tabs>
          <w:tab w:val="left" w:pos="9214"/>
        </w:tabs>
        <w:ind w:right="142"/>
        <w:jc w:val="both"/>
        <w:rPr/>
      </w:pPr>
      <w:r w:rsidDel="00000000" w:rsidR="00000000" w:rsidRPr="00000000">
        <w:rPr>
          <w:rtl w:val="0"/>
        </w:rPr>
      </w:r>
    </w:p>
    <w:p w:rsidR="00000000" w:rsidDel="00000000" w:rsidP="00000000" w:rsidRDefault="00000000" w:rsidRPr="00000000" w14:paraId="000000A4">
      <w:pPr>
        <w:tabs>
          <w:tab w:val="left" w:pos="9214"/>
        </w:tabs>
        <w:ind w:right="142"/>
        <w:jc w:val="both"/>
        <w:rPr/>
      </w:pPr>
      <w:r w:rsidDel="00000000" w:rsidR="00000000" w:rsidRPr="00000000">
        <w:rPr>
          <w:rtl w:val="0"/>
        </w:rPr>
        <w:t xml:space="preserve">Para el transporte por superficie no se establece una cantidad máxima por paquete. Para el transporte aéreo se requiere que:</w:t>
      </w:r>
    </w:p>
    <w:p w:rsidR="00000000" w:rsidDel="00000000" w:rsidP="00000000" w:rsidRDefault="00000000" w:rsidRPr="00000000" w14:paraId="000000A5">
      <w:pPr>
        <w:numPr>
          <w:ilvl w:val="0"/>
          <w:numId w:val="17"/>
        </w:numPr>
        <w:tabs>
          <w:tab w:val="left" w:pos="9214"/>
        </w:tabs>
        <w:spacing w:line="276" w:lineRule="auto"/>
        <w:ind w:left="1068" w:right="142" w:hanging="360"/>
        <w:jc w:val="both"/>
        <w:rPr/>
      </w:pPr>
      <w:r w:rsidDel="00000000" w:rsidR="00000000" w:rsidRPr="00000000">
        <w:rPr>
          <w:rtl w:val="0"/>
        </w:rPr>
        <w:t xml:space="preserve">La capacidad de los recipientes primarios no supere 1 litro (para líquidos) o la masa límite del embalaje externo (para sólidos)</w:t>
      </w:r>
    </w:p>
    <w:p w:rsidR="00000000" w:rsidDel="00000000" w:rsidP="00000000" w:rsidRDefault="00000000" w:rsidRPr="00000000" w14:paraId="000000A6">
      <w:pPr>
        <w:numPr>
          <w:ilvl w:val="0"/>
          <w:numId w:val="17"/>
        </w:numPr>
        <w:tabs>
          <w:tab w:val="left" w:pos="9214"/>
        </w:tabs>
        <w:spacing w:line="276" w:lineRule="auto"/>
        <w:ind w:left="1068" w:right="142" w:hanging="360"/>
        <w:jc w:val="both"/>
        <w:rPr/>
      </w:pPr>
      <w:r w:rsidDel="00000000" w:rsidR="00000000" w:rsidRPr="00000000">
        <w:rPr>
          <w:rtl w:val="0"/>
        </w:rPr>
        <w:t xml:space="preserve">El volumen enviado no supere  4 litros o 4 kg por paquete.</w:t>
      </w:r>
    </w:p>
    <w:p w:rsidR="00000000" w:rsidDel="00000000" w:rsidP="00000000" w:rsidRDefault="00000000" w:rsidRPr="00000000" w14:paraId="000000A7">
      <w:pPr>
        <w:tabs>
          <w:tab w:val="left" w:pos="9214"/>
        </w:tabs>
        <w:spacing w:line="276" w:lineRule="auto"/>
        <w:ind w:right="142"/>
        <w:jc w:val="both"/>
        <w:rPr/>
      </w:pPr>
      <w:r w:rsidDel="00000000" w:rsidR="00000000" w:rsidRPr="00000000">
        <w:rPr>
          <w:rtl w:val="0"/>
        </w:rPr>
        <w:t xml:space="preserve">Estas cantidades excluyen el hielo y el hielo seco cuando sean utilizados para mantener las muestras frías.</w:t>
      </w:r>
    </w:p>
    <w:p w:rsidR="00000000" w:rsidDel="00000000" w:rsidP="00000000" w:rsidRDefault="00000000" w:rsidRPr="00000000" w14:paraId="000000A8">
      <w:pPr>
        <w:tabs>
          <w:tab w:val="left" w:pos="9214"/>
        </w:tabs>
        <w:spacing w:line="276" w:lineRule="auto"/>
        <w:ind w:right="142"/>
        <w:jc w:val="both"/>
        <w:rPr/>
      </w:pPr>
      <w:r w:rsidDel="00000000" w:rsidR="00000000" w:rsidRPr="00000000">
        <w:rPr>
          <w:rtl w:val="0"/>
        </w:rPr>
      </w:r>
    </w:p>
    <w:p w:rsidR="00000000" w:rsidDel="00000000" w:rsidP="00000000" w:rsidRDefault="00000000" w:rsidRPr="00000000" w14:paraId="000000A9">
      <w:pPr>
        <w:tabs>
          <w:tab w:val="left" w:pos="9214"/>
        </w:tabs>
        <w:spacing w:line="276" w:lineRule="auto"/>
        <w:ind w:right="142"/>
        <w:jc w:val="both"/>
        <w:rPr/>
      </w:pPr>
      <w:r w:rsidDel="00000000" w:rsidR="00000000" w:rsidRPr="00000000">
        <w:rPr>
          <w:rtl w:val="0"/>
        </w:rPr>
        <w:t xml:space="preserve">El triple envase constará de:</w:t>
      </w:r>
    </w:p>
    <w:p w:rsidR="00000000" w:rsidDel="00000000" w:rsidP="00000000" w:rsidRDefault="00000000" w:rsidRPr="00000000" w14:paraId="000000AA">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9214"/>
        </w:tabs>
        <w:spacing w:after="0" w:before="0" w:line="240" w:lineRule="auto"/>
        <w:ind w:left="1428" w:right="142"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Recipiente primario estanco</w:t>
      </w:r>
    </w:p>
    <w:p w:rsidR="00000000" w:rsidDel="00000000" w:rsidP="00000000" w:rsidRDefault="00000000" w:rsidRPr="00000000" w14:paraId="000000AB">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9214"/>
        </w:tabs>
        <w:spacing w:after="0" w:before="0" w:line="240" w:lineRule="auto"/>
        <w:ind w:left="1428" w:right="142"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Embalaje secundario estanco</w:t>
      </w:r>
    </w:p>
    <w:p w:rsidR="00000000" w:rsidDel="00000000" w:rsidP="00000000" w:rsidRDefault="00000000" w:rsidRPr="00000000" w14:paraId="000000AC">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9214"/>
        </w:tabs>
        <w:spacing w:after="0" w:before="0" w:line="240" w:lineRule="auto"/>
        <w:ind w:left="1428" w:right="142"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Embalaje exterior rígido</w:t>
      </w:r>
    </w:p>
    <w:p w:rsidR="00000000" w:rsidDel="00000000" w:rsidP="00000000" w:rsidRDefault="00000000" w:rsidRPr="00000000" w14:paraId="000000AD">
      <w:pPr>
        <w:tabs>
          <w:tab w:val="left" w:pos="9214"/>
        </w:tabs>
        <w:spacing w:line="276" w:lineRule="auto"/>
        <w:ind w:right="142"/>
        <w:jc w:val="both"/>
        <w:rPr/>
      </w:pPr>
      <w:r w:rsidDel="00000000" w:rsidR="00000000" w:rsidRPr="00000000">
        <w:rPr>
          <w:rtl w:val="0"/>
        </w:rPr>
      </w:r>
    </w:p>
    <w:p w:rsidR="00000000" w:rsidDel="00000000" w:rsidP="00000000" w:rsidRDefault="00000000" w:rsidRPr="00000000" w14:paraId="000000AE">
      <w:pPr>
        <w:tabs>
          <w:tab w:val="left" w:pos="9214"/>
        </w:tabs>
        <w:spacing w:after="200" w:line="276" w:lineRule="auto"/>
        <w:ind w:right="142"/>
        <w:jc w:val="both"/>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AF">
      <w:pPr>
        <w:tabs>
          <w:tab w:val="left" w:pos="9214"/>
        </w:tabs>
        <w:spacing w:line="276" w:lineRule="auto"/>
        <w:ind w:right="142"/>
        <w:jc w:val="both"/>
        <w:rPr>
          <w:rFonts w:ascii="Calibri" w:cs="Calibri" w:eastAsia="Calibri" w:hAnsi="Calibri"/>
        </w:rPr>
      </w:pPr>
      <w:r w:rsidDel="00000000" w:rsidR="00000000" w:rsidRPr="00000000">
        <w:rPr>
          <w:rtl w:val="0"/>
        </w:rPr>
      </w:r>
    </w:p>
    <w:p w:rsidR="00000000" w:rsidDel="00000000" w:rsidP="00000000" w:rsidRDefault="00000000" w:rsidRPr="00000000" w14:paraId="000000B0">
      <w:pPr>
        <w:tabs>
          <w:tab w:val="left" w:pos="9214"/>
        </w:tabs>
        <w:spacing w:line="276" w:lineRule="auto"/>
        <w:ind w:right="142"/>
        <w:jc w:val="both"/>
        <w:rPr/>
      </w:pPr>
      <w:r w:rsidDel="00000000" w:rsidR="00000000" w:rsidRPr="00000000">
        <w:rPr>
          <w:rtl w:val="0"/>
        </w:rPr>
        <w:t xml:space="preserve">Ejemplo de sistema de embalaje/envasado triple para el embalaje y etiquetado de sustancias infecciosas de categoría B</w:t>
      </w:r>
    </w:p>
    <w:p w:rsidR="00000000" w:rsidDel="00000000" w:rsidP="00000000" w:rsidRDefault="00000000" w:rsidRPr="00000000" w14:paraId="000000B1">
      <w:pPr>
        <w:tabs>
          <w:tab w:val="left" w:pos="9214"/>
        </w:tabs>
        <w:spacing w:line="276" w:lineRule="auto"/>
        <w:ind w:right="142"/>
        <w:jc w:val="both"/>
        <w:rPr/>
      </w:pPr>
      <w:r w:rsidDel="00000000" w:rsidR="00000000" w:rsidRPr="00000000">
        <w:rPr>
          <w:rtl w:val="0"/>
        </w:rPr>
      </w:r>
    </w:p>
    <w:p w:rsidR="00000000" w:rsidDel="00000000" w:rsidP="00000000" w:rsidRDefault="00000000" w:rsidRPr="00000000" w14:paraId="000000B2">
      <w:pPr>
        <w:tabs>
          <w:tab w:val="left" w:pos="9214"/>
        </w:tabs>
        <w:spacing w:line="276" w:lineRule="auto"/>
        <w:ind w:right="142"/>
        <w:jc w:val="both"/>
        <w:rPr>
          <w:rFonts w:ascii="Calibri" w:cs="Calibri" w:eastAsia="Calibri" w:hAnsi="Calibri"/>
        </w:rPr>
      </w:pPr>
      <w:r w:rsidDel="00000000" w:rsidR="00000000" w:rsidRPr="00000000">
        <w:rPr>
          <w:rtl w:val="0"/>
        </w:rPr>
      </w:r>
    </w:p>
    <w:p w:rsidR="00000000" w:rsidDel="00000000" w:rsidP="00000000" w:rsidRDefault="00000000" w:rsidRPr="00000000" w14:paraId="000000B3">
      <w:pPr>
        <w:tabs>
          <w:tab w:val="left" w:pos="9214"/>
        </w:tabs>
        <w:spacing w:line="276" w:lineRule="auto"/>
        <w:ind w:right="142"/>
        <w:jc w:val="both"/>
        <w:rPr>
          <w:rFonts w:ascii="Calibri" w:cs="Calibri" w:eastAsia="Calibri" w:hAnsi="Calibri"/>
        </w:rPr>
      </w:pPr>
      <w:r w:rsidDel="00000000" w:rsidR="00000000" w:rsidRPr="00000000">
        <w:rPr>
          <w:rtl w:val="0"/>
        </w:rPr>
      </w:r>
    </w:p>
    <w:p w:rsidR="00000000" w:rsidDel="00000000" w:rsidP="00000000" w:rsidRDefault="00000000" w:rsidRPr="00000000" w14:paraId="000000B4">
      <w:pPr>
        <w:tabs>
          <w:tab w:val="left" w:pos="9214"/>
        </w:tabs>
        <w:spacing w:line="276" w:lineRule="auto"/>
        <w:ind w:right="142"/>
        <w:jc w:val="center"/>
        <w:rPr>
          <w:rFonts w:ascii="Calibri" w:cs="Calibri" w:eastAsia="Calibri" w:hAnsi="Calibri"/>
        </w:rPr>
      </w:pPr>
      <w:r w:rsidDel="00000000" w:rsidR="00000000" w:rsidRPr="00000000">
        <w:rPr>
          <w:rFonts w:ascii="Calibri" w:cs="Calibri" w:eastAsia="Calibri" w:hAnsi="Calibri"/>
        </w:rPr>
        <w:drawing>
          <wp:inline distB="0" distT="0" distL="0" distR="0">
            <wp:extent cx="4905375" cy="3886200"/>
            <wp:effectExtent b="0" l="0" r="0" t="0"/>
            <wp:docPr id="7" name="image5.png"/>
            <a:graphic>
              <a:graphicData uri="http://schemas.openxmlformats.org/drawingml/2006/picture">
                <pic:pic>
                  <pic:nvPicPr>
                    <pic:cNvPr id="0" name="image5.png"/>
                    <pic:cNvPicPr preferRelativeResize="0"/>
                  </pic:nvPicPr>
                  <pic:blipFill>
                    <a:blip r:embed="rId16"/>
                    <a:srcRect b="26939" l="32755" r="30586" t="21359"/>
                    <a:stretch>
                      <a:fillRect/>
                    </a:stretch>
                  </pic:blipFill>
                  <pic:spPr>
                    <a:xfrm>
                      <a:off x="0" y="0"/>
                      <a:ext cx="4905375" cy="3886200"/>
                    </a:xfrm>
                    <a:prstGeom prst="rect"/>
                    <a:ln/>
                  </pic:spPr>
                </pic:pic>
              </a:graphicData>
            </a:graphic>
          </wp:inline>
        </w:drawing>
      </w:r>
      <w:r w:rsidDel="00000000" w:rsidR="00000000" w:rsidRPr="00000000">
        <w:rPr>
          <w:rtl w:val="0"/>
        </w:rPr>
      </w:r>
    </w:p>
    <w:p w:rsidR="00000000" w:rsidDel="00000000" w:rsidP="00000000" w:rsidRDefault="00000000" w:rsidRPr="00000000" w14:paraId="000000B5">
      <w:pPr>
        <w:tabs>
          <w:tab w:val="left" w:pos="9214"/>
        </w:tabs>
        <w:spacing w:line="276" w:lineRule="auto"/>
        <w:ind w:right="142"/>
        <w:jc w:val="both"/>
        <w:rPr>
          <w:rFonts w:ascii="Calibri" w:cs="Calibri" w:eastAsia="Calibri" w:hAnsi="Calibri"/>
        </w:rPr>
      </w:pPr>
      <w:r w:rsidDel="00000000" w:rsidR="00000000" w:rsidRPr="00000000">
        <w:rPr>
          <w:rtl w:val="0"/>
        </w:rPr>
      </w:r>
    </w:p>
    <w:p w:rsidR="00000000" w:rsidDel="00000000" w:rsidP="00000000" w:rsidRDefault="00000000" w:rsidRPr="00000000" w14:paraId="000000B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9214"/>
        </w:tabs>
        <w:spacing w:after="0" w:before="0" w:line="276" w:lineRule="auto"/>
        <w:ind w:left="360" w:right="142"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caso de que se utilice hielo o hielo seco para refrigerar la muestra, éste NUNCA debe ir en el interior del embalaje secundario.</w:t>
      </w:r>
    </w:p>
    <w:p w:rsidR="00000000" w:rsidDel="00000000" w:rsidP="00000000" w:rsidRDefault="00000000" w:rsidRPr="00000000" w14:paraId="000000B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9214"/>
        </w:tabs>
        <w:spacing w:after="0" w:before="0" w:line="276" w:lineRule="auto"/>
        <w:ind w:left="360" w:right="142"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información acompañante a las muestras enviadas debe colocarse entre el embalaje secundario y el embalaje exterior, NUNCA en el interior del embalaje secundario.</w:t>
      </w:r>
    </w:p>
    <w:p w:rsidR="00000000" w:rsidDel="00000000" w:rsidP="00000000" w:rsidRDefault="00000000" w:rsidRPr="00000000" w14:paraId="000000B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9214"/>
        </w:tabs>
        <w:spacing w:after="0" w:before="0" w:line="276" w:lineRule="auto"/>
        <w:ind w:left="360" w:right="142"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se cumplen todos los requisitos establecidos en la Instrucción de embalaje/envasado P650, no se establecen requerimientos de transporte adicionales. La Instrucción P650 comprende todos los requisitos necesarios para el envío de sustancias infecciosas de categoría B.</w:t>
      </w:r>
    </w:p>
    <w:p w:rsidR="00000000" w:rsidDel="00000000" w:rsidP="00000000" w:rsidRDefault="00000000" w:rsidRPr="00000000" w14:paraId="000000B9">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BA">
      <w:pPr>
        <w:tabs>
          <w:tab w:val="left" w:pos="9214"/>
        </w:tabs>
        <w:spacing w:line="276" w:lineRule="auto"/>
        <w:ind w:right="142"/>
        <w:jc w:val="both"/>
        <w:rPr>
          <w:b w:val="1"/>
        </w:rPr>
      </w:pPr>
      <w:r w:rsidDel="00000000" w:rsidR="00000000" w:rsidRPr="00000000">
        <w:rPr>
          <w:rtl w:val="0"/>
        </w:rPr>
      </w:r>
    </w:p>
    <w:p w:rsidR="00000000" w:rsidDel="00000000" w:rsidP="00000000" w:rsidRDefault="00000000" w:rsidRPr="00000000" w14:paraId="000000BB">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9214"/>
        </w:tabs>
        <w:spacing w:after="0" w:before="0" w:line="276" w:lineRule="auto"/>
        <w:ind w:left="284" w:right="142" w:hanging="284"/>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Etiquetado:</w:t>
      </w:r>
    </w:p>
    <w:p w:rsidR="00000000" w:rsidDel="00000000" w:rsidP="00000000" w:rsidRDefault="00000000" w:rsidRPr="00000000" w14:paraId="000000BC">
      <w:pPr>
        <w:tabs>
          <w:tab w:val="left" w:pos="9214"/>
        </w:tabs>
        <w:spacing w:line="276" w:lineRule="auto"/>
        <w:ind w:right="142"/>
        <w:jc w:val="both"/>
        <w:rPr>
          <w:b w:val="1"/>
        </w:rPr>
      </w:pPr>
      <w:r w:rsidDel="00000000" w:rsidR="00000000" w:rsidRPr="00000000">
        <w:rPr>
          <w:rtl w:val="0"/>
        </w:rPr>
      </w:r>
    </w:p>
    <w:p w:rsidR="00000000" w:rsidDel="00000000" w:rsidP="00000000" w:rsidRDefault="00000000" w:rsidRPr="00000000" w14:paraId="000000BD">
      <w:pPr>
        <w:tabs>
          <w:tab w:val="left" w:pos="9214"/>
        </w:tabs>
        <w:spacing w:line="276" w:lineRule="auto"/>
        <w:ind w:right="142"/>
        <w:jc w:val="both"/>
        <w:rPr/>
      </w:pPr>
      <w:r w:rsidDel="00000000" w:rsidR="00000000" w:rsidRPr="00000000">
        <w:rPr>
          <w:rtl w:val="0"/>
        </w:rPr>
        <w:t xml:space="preserve">Independiente del medio de transporte, en cada paquete se expondrá la información siguiente:</w:t>
      </w:r>
    </w:p>
    <w:p w:rsidR="00000000" w:rsidDel="00000000" w:rsidP="00000000" w:rsidRDefault="00000000" w:rsidRPr="00000000" w14:paraId="000000BE">
      <w:pPr>
        <w:numPr>
          <w:ilvl w:val="1"/>
          <w:numId w:val="5"/>
        </w:numPr>
        <w:tabs>
          <w:tab w:val="left" w:pos="9214"/>
        </w:tabs>
        <w:spacing w:line="276" w:lineRule="auto"/>
        <w:ind w:left="1440" w:right="142" w:hanging="360"/>
        <w:jc w:val="both"/>
        <w:rPr/>
      </w:pPr>
      <w:r w:rsidDel="00000000" w:rsidR="00000000" w:rsidRPr="00000000">
        <w:rPr>
          <w:rtl w:val="0"/>
        </w:rPr>
        <w:t xml:space="preserve">el nombre, la dirección y el número de teléfono del expedidor (remitente, consignador)</w:t>
      </w:r>
    </w:p>
    <w:p w:rsidR="00000000" w:rsidDel="00000000" w:rsidP="00000000" w:rsidRDefault="00000000" w:rsidRPr="00000000" w14:paraId="000000BF">
      <w:pPr>
        <w:numPr>
          <w:ilvl w:val="1"/>
          <w:numId w:val="5"/>
        </w:numPr>
        <w:tabs>
          <w:tab w:val="left" w:pos="9214"/>
        </w:tabs>
        <w:spacing w:line="276" w:lineRule="auto"/>
        <w:ind w:left="1440" w:right="142" w:hanging="360"/>
        <w:jc w:val="both"/>
        <w:rPr/>
      </w:pPr>
      <w:r w:rsidDel="00000000" w:rsidR="00000000" w:rsidRPr="00000000">
        <w:rPr>
          <w:rtl w:val="0"/>
        </w:rPr>
        <w:t xml:space="preserve">el número de teléfono de una persona responsable e informada acerca del envío</w:t>
      </w:r>
    </w:p>
    <w:p w:rsidR="00000000" w:rsidDel="00000000" w:rsidP="00000000" w:rsidRDefault="00000000" w:rsidRPr="00000000" w14:paraId="000000C0">
      <w:pPr>
        <w:numPr>
          <w:ilvl w:val="1"/>
          <w:numId w:val="5"/>
        </w:numPr>
        <w:tabs>
          <w:tab w:val="left" w:pos="9214"/>
        </w:tabs>
        <w:spacing w:line="276" w:lineRule="auto"/>
        <w:ind w:left="1440" w:right="142" w:hanging="360"/>
        <w:jc w:val="both"/>
        <w:rPr/>
      </w:pPr>
      <w:r w:rsidDel="00000000" w:rsidR="00000000" w:rsidRPr="00000000">
        <w:rPr>
          <w:rtl w:val="0"/>
        </w:rPr>
        <w:t xml:space="preserve">el nombre, la dirección y el número de teléfono del destinatario (consignatario)</w:t>
      </w:r>
    </w:p>
    <w:p w:rsidR="00000000" w:rsidDel="00000000" w:rsidP="00000000" w:rsidRDefault="00000000" w:rsidRPr="00000000" w14:paraId="000000C1">
      <w:pPr>
        <w:numPr>
          <w:ilvl w:val="1"/>
          <w:numId w:val="5"/>
        </w:numPr>
        <w:tabs>
          <w:tab w:val="left" w:pos="9214"/>
        </w:tabs>
        <w:spacing w:line="276" w:lineRule="auto"/>
        <w:ind w:left="1440" w:right="142" w:hanging="360"/>
        <w:jc w:val="both"/>
        <w:rPr/>
      </w:pPr>
      <w:r w:rsidDel="00000000" w:rsidR="00000000" w:rsidRPr="00000000">
        <w:rPr>
          <w:rtl w:val="0"/>
        </w:rPr>
        <w:t xml:space="preserve">la designación oficial de transporte «BIOLOGICAL SUBSTANCE, CATEGORY B».</w:t>
      </w:r>
    </w:p>
    <w:p w:rsidR="00000000" w:rsidDel="00000000" w:rsidP="00000000" w:rsidRDefault="00000000" w:rsidRPr="00000000" w14:paraId="000000C2">
      <w:pPr>
        <w:numPr>
          <w:ilvl w:val="1"/>
          <w:numId w:val="5"/>
        </w:numPr>
        <w:tabs>
          <w:tab w:val="left" w:pos="9214"/>
        </w:tabs>
        <w:spacing w:line="276" w:lineRule="auto"/>
        <w:ind w:left="1440" w:right="142" w:hanging="360"/>
        <w:jc w:val="both"/>
        <w:rPr/>
      </w:pPr>
      <w:r w:rsidDel="00000000" w:rsidR="00000000" w:rsidRPr="00000000">
        <w:rPr>
          <w:rtl w:val="0"/>
        </w:rPr>
        <w:t xml:space="preserve">requisitos relativos a la temperatura de almacenamiento (optativo).</w:t>
      </w:r>
    </w:p>
    <w:p w:rsidR="00000000" w:rsidDel="00000000" w:rsidP="00000000" w:rsidRDefault="00000000" w:rsidRPr="00000000" w14:paraId="000000C3">
      <w:pPr>
        <w:tabs>
          <w:tab w:val="left" w:pos="9214"/>
        </w:tabs>
        <w:spacing w:line="276" w:lineRule="auto"/>
        <w:ind w:right="142"/>
        <w:jc w:val="both"/>
        <w:rPr/>
      </w:pPr>
      <w:r w:rsidDel="00000000" w:rsidR="00000000" w:rsidRPr="00000000">
        <w:rPr>
          <w:rtl w:val="0"/>
        </w:rPr>
      </w:r>
    </w:p>
    <w:p w:rsidR="00000000" w:rsidDel="00000000" w:rsidP="00000000" w:rsidRDefault="00000000" w:rsidRPr="00000000" w14:paraId="000000C4">
      <w:pPr>
        <w:tabs>
          <w:tab w:val="left" w:pos="9214"/>
        </w:tabs>
        <w:spacing w:line="276" w:lineRule="auto"/>
        <w:ind w:right="142"/>
        <w:jc w:val="both"/>
        <w:rPr>
          <w:rFonts w:ascii="Calibri" w:cs="Calibri" w:eastAsia="Calibri" w:hAnsi="Calibri"/>
        </w:rPr>
      </w:pPr>
      <w:r w:rsidDel="00000000" w:rsidR="00000000" w:rsidRPr="00000000">
        <w:rPr>
          <w:rtl w:val="0"/>
        </w:rPr>
        <w:t xml:space="preserve">Para los envíos de sustancias infecciosas de categoría B se utiliza la marca que se muestra en la figura</w:t>
      </w:r>
      <w:r w:rsidDel="00000000" w:rsidR="00000000" w:rsidRPr="00000000">
        <w:rPr>
          <w:rFonts w:ascii="Calibri" w:cs="Calibri" w:eastAsia="Calibri" w:hAnsi="Calibri"/>
          <w:rtl w:val="0"/>
        </w:rPr>
        <w:t xml:space="preserve">.</w:t>
      </w:r>
    </w:p>
    <w:p w:rsidR="00000000" w:rsidDel="00000000" w:rsidP="00000000" w:rsidRDefault="00000000" w:rsidRPr="00000000" w14:paraId="000000C5">
      <w:pPr>
        <w:tabs>
          <w:tab w:val="left" w:pos="9214"/>
        </w:tabs>
        <w:spacing w:line="276" w:lineRule="auto"/>
        <w:ind w:right="142"/>
        <w:jc w:val="center"/>
        <w:rPr>
          <w:rFonts w:ascii="Calibri" w:cs="Calibri" w:eastAsia="Calibri" w:hAnsi="Calibri"/>
        </w:rPr>
      </w:pPr>
      <w:r w:rsidDel="00000000" w:rsidR="00000000" w:rsidRPr="00000000">
        <w:rPr>
          <w:rFonts w:ascii="Calibri" w:cs="Calibri" w:eastAsia="Calibri" w:hAnsi="Calibri"/>
          <w:color w:val="0b0080"/>
          <w:sz w:val="20"/>
          <w:szCs w:val="20"/>
        </w:rPr>
        <w:drawing>
          <wp:inline distB="0" distT="0" distL="0" distR="0">
            <wp:extent cx="1457325" cy="1457325"/>
            <wp:effectExtent b="0" l="0" r="0" t="0"/>
            <wp:docPr descr="https://upload.wikimedia.org/wikipedia/commons/8/82/Un3373.jpg" id="9" name="image7.png"/>
            <a:graphic>
              <a:graphicData uri="http://schemas.openxmlformats.org/drawingml/2006/picture">
                <pic:pic>
                  <pic:nvPicPr>
                    <pic:cNvPr descr="https://upload.wikimedia.org/wikipedia/commons/8/82/Un3373.jpg" id="0" name="image7.png"/>
                    <pic:cNvPicPr preferRelativeResize="0"/>
                  </pic:nvPicPr>
                  <pic:blipFill>
                    <a:blip r:embed="rId17"/>
                    <a:srcRect b="0" l="0" r="0" t="0"/>
                    <a:stretch>
                      <a:fillRect/>
                    </a:stretch>
                  </pic:blipFill>
                  <pic:spPr>
                    <a:xfrm>
                      <a:off x="0" y="0"/>
                      <a:ext cx="1457325" cy="1457325"/>
                    </a:xfrm>
                    <a:prstGeom prst="rect"/>
                    <a:ln/>
                  </pic:spPr>
                </pic:pic>
              </a:graphicData>
            </a:graphic>
          </wp:inline>
        </w:drawing>
      </w:r>
      <w:r w:rsidDel="00000000" w:rsidR="00000000" w:rsidRPr="00000000">
        <w:rPr>
          <w:rtl w:val="0"/>
        </w:rPr>
      </w:r>
    </w:p>
    <w:p w:rsidR="00000000" w:rsidDel="00000000" w:rsidP="00000000" w:rsidRDefault="00000000" w:rsidRPr="00000000" w14:paraId="000000C6">
      <w:pPr>
        <w:tabs>
          <w:tab w:val="left" w:pos="9214"/>
        </w:tabs>
        <w:spacing w:line="276" w:lineRule="auto"/>
        <w:ind w:right="142"/>
        <w:jc w:val="both"/>
        <w:rPr>
          <w:b w:val="1"/>
        </w:rPr>
      </w:pPr>
      <w:r w:rsidDel="00000000" w:rsidR="00000000" w:rsidRPr="00000000">
        <w:rPr>
          <w:rtl w:val="0"/>
        </w:rPr>
      </w:r>
    </w:p>
    <w:p w:rsidR="00000000" w:rsidDel="00000000" w:rsidP="00000000" w:rsidRDefault="00000000" w:rsidRPr="00000000" w14:paraId="000000C7">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9214"/>
        </w:tabs>
        <w:spacing w:after="0" w:before="0" w:line="276" w:lineRule="auto"/>
        <w:ind w:left="284" w:right="142" w:hanging="284"/>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Condiciones de los medios de transporte:</w:t>
      </w:r>
    </w:p>
    <w:p w:rsidR="00000000" w:rsidDel="00000000" w:rsidP="00000000" w:rsidRDefault="00000000" w:rsidRPr="00000000" w14:paraId="000000C8">
      <w:pPr>
        <w:tabs>
          <w:tab w:val="left" w:pos="9214"/>
        </w:tabs>
        <w:spacing w:line="276" w:lineRule="auto"/>
        <w:ind w:right="142"/>
        <w:jc w:val="both"/>
        <w:rPr>
          <w:b w:val="1"/>
        </w:rPr>
      </w:pPr>
      <w:r w:rsidDel="00000000" w:rsidR="00000000" w:rsidRPr="00000000">
        <w:rPr>
          <w:rtl w:val="0"/>
        </w:rPr>
      </w:r>
    </w:p>
    <w:p w:rsidR="00000000" w:rsidDel="00000000" w:rsidP="00000000" w:rsidRDefault="00000000" w:rsidRPr="00000000" w14:paraId="000000C9">
      <w:pPr>
        <w:spacing w:after="160" w:line="259" w:lineRule="auto"/>
        <w:jc w:val="both"/>
        <w:rPr/>
      </w:pPr>
      <w:r w:rsidDel="00000000" w:rsidR="00000000" w:rsidRPr="00000000">
        <w:rPr>
          <w:rtl w:val="0"/>
        </w:rPr>
        <w:t xml:space="preserve">No es imprescindible que el transporte de muestras clínicas para la detección del SARS-CoV2 se realice utilizando </w:t>
      </w:r>
      <w:r w:rsidDel="00000000" w:rsidR="00000000" w:rsidRPr="00000000">
        <w:rPr>
          <w:b w:val="1"/>
          <w:rtl w:val="0"/>
        </w:rPr>
        <w:t xml:space="preserve">los servicios de empresas especializadas. </w:t>
      </w:r>
      <w:r w:rsidDel="00000000" w:rsidR="00000000" w:rsidRPr="00000000">
        <w:rPr>
          <w:rtl w:val="0"/>
        </w:rPr>
        <w:t xml:space="preserve">Al tratarse de sustancias infecciosas de categoría B lo necesario es cumplir con las siguientes instrucciones: </w:t>
      </w:r>
    </w:p>
    <w:p w:rsidR="00000000" w:rsidDel="00000000" w:rsidP="00000000" w:rsidRDefault="00000000" w:rsidRPr="00000000" w14:paraId="000000CA">
      <w:pPr>
        <w:numPr>
          <w:ilvl w:val="0"/>
          <w:numId w:val="10"/>
        </w:numPr>
        <w:spacing w:after="0" w:line="259" w:lineRule="auto"/>
        <w:ind w:left="708" w:hanging="360"/>
        <w:jc w:val="both"/>
        <w:rPr/>
      </w:pPr>
      <w:r w:rsidDel="00000000" w:rsidR="00000000" w:rsidRPr="00000000">
        <w:rPr>
          <w:rtl w:val="0"/>
        </w:rPr>
        <w:t xml:space="preserve">Utilizar el triple envase del tipo UN3373 y un documento externo (formulario, carta de porte) que indique lo que se transporta.</w:t>
      </w:r>
    </w:p>
    <w:p w:rsidR="00000000" w:rsidDel="00000000" w:rsidP="00000000" w:rsidRDefault="00000000" w:rsidRPr="00000000" w14:paraId="000000CB">
      <w:pPr>
        <w:numPr>
          <w:ilvl w:val="0"/>
          <w:numId w:val="10"/>
        </w:numPr>
        <w:spacing w:after="0" w:line="259" w:lineRule="auto"/>
        <w:ind w:left="708" w:hanging="360"/>
        <w:jc w:val="both"/>
        <w:rPr/>
      </w:pPr>
      <w:r w:rsidDel="00000000" w:rsidR="00000000" w:rsidRPr="00000000">
        <w:rPr>
          <w:rtl w:val="0"/>
        </w:rPr>
        <w:t xml:space="preserve">Las empresas de mensajería o personas que transporten sustancias biológicas de categoría B (UN 3373), están obligadas a cumplir con las normas de transporte de la ADR. Este tipo de embalajes no podrán ir dentro de bolsas de mensajería, dado que las etiquetas normalizadas deben estar a la vista.</w:t>
      </w:r>
    </w:p>
    <w:p w:rsidR="00000000" w:rsidDel="00000000" w:rsidP="00000000" w:rsidRDefault="00000000" w:rsidRPr="00000000" w14:paraId="000000CC">
      <w:pPr>
        <w:numPr>
          <w:ilvl w:val="0"/>
          <w:numId w:val="10"/>
        </w:numPr>
        <w:spacing w:after="0" w:line="259" w:lineRule="auto"/>
        <w:ind w:left="708" w:hanging="360"/>
        <w:jc w:val="both"/>
        <w:rPr/>
      </w:pPr>
      <w:r w:rsidDel="00000000" w:rsidR="00000000" w:rsidRPr="00000000">
        <w:rPr>
          <w:rtl w:val="0"/>
        </w:rPr>
        <w:t xml:space="preserve">El vehículo debe tener un sistema de anclaje que impida el movimiento del paquete y posibles golpes.</w:t>
      </w:r>
    </w:p>
    <w:p w:rsidR="00000000" w:rsidDel="00000000" w:rsidP="00000000" w:rsidRDefault="00000000" w:rsidRPr="00000000" w14:paraId="000000CD">
      <w:pPr>
        <w:numPr>
          <w:ilvl w:val="0"/>
          <w:numId w:val="10"/>
        </w:numPr>
        <w:spacing w:after="0" w:line="259" w:lineRule="auto"/>
        <w:ind w:left="708" w:hanging="360"/>
        <w:jc w:val="both"/>
        <w:rPr/>
      </w:pPr>
      <w:r w:rsidDel="00000000" w:rsidR="00000000" w:rsidRPr="00000000">
        <w:rPr>
          <w:rtl w:val="0"/>
        </w:rPr>
        <w:t xml:space="preserve">El personal del vehículo de transporte alternativo debe recibir información de lo que va a transportar, conocer los riesgos y comprometerse a informar en caso de incidentes. </w:t>
      </w:r>
    </w:p>
    <w:p w:rsidR="00000000" w:rsidDel="00000000" w:rsidP="00000000" w:rsidRDefault="00000000" w:rsidRPr="00000000" w14:paraId="000000CE">
      <w:pPr>
        <w:spacing w:after="0" w:line="259" w:lineRule="auto"/>
        <w:ind w:left="708"/>
        <w:jc w:val="both"/>
        <w:rPr/>
      </w:pPr>
      <w:r w:rsidDel="00000000" w:rsidR="00000000" w:rsidRPr="00000000">
        <w:rPr>
          <w:rtl w:val="0"/>
        </w:rPr>
      </w:r>
    </w:p>
    <w:p w:rsidR="00000000" w:rsidDel="00000000" w:rsidP="00000000" w:rsidRDefault="00000000" w:rsidRPr="00000000" w14:paraId="000000CF">
      <w:pPr>
        <w:spacing w:after="0" w:line="259" w:lineRule="auto"/>
        <w:jc w:val="both"/>
        <w:rPr/>
      </w:pPr>
      <w:r w:rsidDel="00000000" w:rsidR="00000000" w:rsidRPr="00000000">
        <w:rPr>
          <w:rtl w:val="0"/>
        </w:rPr>
        <w:t xml:space="preserve">  </w:t>
      </w:r>
    </w:p>
    <w:p w:rsidR="00000000" w:rsidDel="00000000" w:rsidP="00000000" w:rsidRDefault="00000000" w:rsidRPr="00000000" w14:paraId="000000D0">
      <w:pPr>
        <w:tabs>
          <w:tab w:val="left" w:pos="9214"/>
        </w:tabs>
        <w:spacing w:line="276" w:lineRule="auto"/>
        <w:ind w:right="142"/>
        <w:jc w:val="both"/>
        <w:rPr>
          <w:b w:val="1"/>
        </w:rPr>
      </w:pPr>
      <w:r w:rsidDel="00000000" w:rsidR="00000000" w:rsidRPr="00000000">
        <w:rPr>
          <w:rtl w:val="0"/>
        </w:rPr>
      </w:r>
    </w:p>
    <w:p w:rsidR="00000000" w:rsidDel="00000000" w:rsidP="00000000" w:rsidRDefault="00000000" w:rsidRPr="00000000" w14:paraId="000000D1">
      <w:pPr>
        <w:rPr>
          <w:b w:val="1"/>
        </w:rPr>
      </w:pPr>
      <w:r w:rsidDel="00000000" w:rsidR="00000000" w:rsidRPr="00000000">
        <w:rPr>
          <w:b w:val="1"/>
          <w:rtl w:val="0"/>
        </w:rPr>
        <w:t xml:space="preserve">Documentación:</w:t>
      </w:r>
    </w:p>
    <w:p w:rsidR="00000000" w:rsidDel="00000000" w:rsidP="00000000" w:rsidRDefault="00000000" w:rsidRPr="00000000" w14:paraId="000000D2">
      <w:pPr>
        <w:tabs>
          <w:tab w:val="left" w:pos="9214"/>
        </w:tabs>
        <w:spacing w:line="276" w:lineRule="auto"/>
        <w:ind w:right="142"/>
        <w:jc w:val="both"/>
        <w:rPr>
          <w:b w:val="1"/>
        </w:rPr>
      </w:pPr>
      <w:r w:rsidDel="00000000" w:rsidR="00000000" w:rsidRPr="00000000">
        <w:rPr>
          <w:rtl w:val="0"/>
        </w:rPr>
      </w:r>
    </w:p>
    <w:p w:rsidR="00000000" w:rsidDel="00000000" w:rsidP="00000000" w:rsidRDefault="00000000" w:rsidRPr="00000000" w14:paraId="000000D3">
      <w:pPr>
        <w:tabs>
          <w:tab w:val="left" w:pos="9214"/>
        </w:tabs>
        <w:spacing w:line="276" w:lineRule="auto"/>
        <w:ind w:right="142"/>
        <w:jc w:val="both"/>
        <w:rPr/>
      </w:pPr>
      <w:r w:rsidDel="00000000" w:rsidR="00000000" w:rsidRPr="00000000">
        <w:rPr>
          <w:rtl w:val="0"/>
        </w:rPr>
        <w:t xml:space="preserve">No se requieren documentos con indicación de mercancía peligrosa para las sustancias infecciosas de categoría B.</w:t>
      </w:r>
    </w:p>
    <w:p w:rsidR="00000000" w:rsidDel="00000000" w:rsidP="00000000" w:rsidRDefault="00000000" w:rsidRPr="00000000" w14:paraId="000000D4">
      <w:pPr>
        <w:tabs>
          <w:tab w:val="left" w:pos="9214"/>
        </w:tabs>
        <w:spacing w:line="276" w:lineRule="auto"/>
        <w:ind w:right="142"/>
        <w:jc w:val="both"/>
        <w:rPr/>
      </w:pPr>
      <w:r w:rsidDel="00000000" w:rsidR="00000000" w:rsidRPr="00000000">
        <w:rPr>
          <w:rtl w:val="0"/>
        </w:rPr>
      </w:r>
    </w:p>
    <w:p w:rsidR="00000000" w:rsidDel="00000000" w:rsidP="00000000" w:rsidRDefault="00000000" w:rsidRPr="00000000" w14:paraId="000000D5">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9214"/>
        </w:tabs>
        <w:spacing w:after="0" w:before="0" w:line="276" w:lineRule="auto"/>
        <w:ind w:left="284" w:right="142" w:hanging="284"/>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Medio de conservación en función del tipo de muestra:</w:t>
      </w:r>
    </w:p>
    <w:p w:rsidR="00000000" w:rsidDel="00000000" w:rsidP="00000000" w:rsidRDefault="00000000" w:rsidRPr="00000000" w14:paraId="000000D6">
      <w:pPr>
        <w:tabs>
          <w:tab w:val="left" w:pos="9214"/>
        </w:tabs>
        <w:spacing w:line="276" w:lineRule="auto"/>
        <w:ind w:right="142"/>
        <w:jc w:val="both"/>
        <w:rPr>
          <w:rFonts w:ascii="Calibri" w:cs="Calibri" w:eastAsia="Calibri" w:hAnsi="Calibri"/>
          <w:b w:val="1"/>
        </w:rPr>
      </w:pPr>
      <w:r w:rsidDel="00000000" w:rsidR="00000000" w:rsidRPr="00000000">
        <w:rPr>
          <w:rtl w:val="0"/>
        </w:rPr>
      </w:r>
    </w:p>
    <w:tbl>
      <w:tblPr>
        <w:tblStyle w:val="Table2"/>
        <w:tblW w:w="8500.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11"/>
        <w:gridCol w:w="2144"/>
        <w:gridCol w:w="3145"/>
        <w:tblGridChange w:id="0">
          <w:tblGrid>
            <w:gridCol w:w="3211"/>
            <w:gridCol w:w="2144"/>
            <w:gridCol w:w="3145"/>
          </w:tblGrid>
        </w:tblGridChange>
      </w:tblGrid>
      <w:tr>
        <w:tc>
          <w:tcPr>
            <w:shd w:fill="auto" w:val="clear"/>
            <w:vAlign w:val="center"/>
          </w:tcPr>
          <w:p w:rsidR="00000000" w:rsidDel="00000000" w:rsidP="00000000" w:rsidRDefault="00000000" w:rsidRPr="00000000" w14:paraId="000000D7">
            <w:pPr>
              <w:tabs>
                <w:tab w:val="left" w:pos="9214"/>
              </w:tabs>
              <w:spacing w:before="100" w:line="276" w:lineRule="auto"/>
              <w:ind w:right="142"/>
              <w:jc w:val="both"/>
              <w:rPr>
                <w:b w:val="1"/>
                <w:sz w:val="20"/>
                <w:szCs w:val="20"/>
              </w:rPr>
            </w:pPr>
            <w:r w:rsidDel="00000000" w:rsidR="00000000" w:rsidRPr="00000000">
              <w:rPr>
                <w:b w:val="1"/>
                <w:sz w:val="20"/>
                <w:szCs w:val="20"/>
                <w:rtl w:val="0"/>
              </w:rPr>
              <w:t xml:space="preserve">Tipo de muestra</w:t>
            </w:r>
          </w:p>
        </w:tc>
        <w:tc>
          <w:tcPr>
            <w:shd w:fill="auto" w:val="clear"/>
            <w:vAlign w:val="center"/>
          </w:tcPr>
          <w:p w:rsidR="00000000" w:rsidDel="00000000" w:rsidP="00000000" w:rsidRDefault="00000000" w:rsidRPr="00000000" w14:paraId="000000D8">
            <w:pPr>
              <w:tabs>
                <w:tab w:val="left" w:pos="9214"/>
              </w:tabs>
              <w:spacing w:before="100" w:line="276" w:lineRule="auto"/>
              <w:ind w:right="142"/>
              <w:rPr>
                <w:b w:val="1"/>
                <w:sz w:val="20"/>
                <w:szCs w:val="20"/>
              </w:rPr>
            </w:pPr>
            <w:r w:rsidDel="00000000" w:rsidR="00000000" w:rsidRPr="00000000">
              <w:rPr>
                <w:b w:val="1"/>
                <w:sz w:val="20"/>
                <w:szCs w:val="20"/>
                <w:rtl w:val="0"/>
              </w:rPr>
              <w:t xml:space="preserve">Medio de Transporte de Virus</w:t>
            </w:r>
          </w:p>
        </w:tc>
        <w:tc>
          <w:tcPr>
            <w:shd w:fill="auto" w:val="clear"/>
            <w:vAlign w:val="center"/>
          </w:tcPr>
          <w:p w:rsidR="00000000" w:rsidDel="00000000" w:rsidP="00000000" w:rsidRDefault="00000000" w:rsidRPr="00000000" w14:paraId="000000D9">
            <w:pPr>
              <w:tabs>
                <w:tab w:val="left" w:pos="9214"/>
              </w:tabs>
              <w:spacing w:before="100" w:line="276" w:lineRule="auto"/>
              <w:ind w:right="142"/>
              <w:jc w:val="both"/>
              <w:rPr>
                <w:b w:val="1"/>
                <w:sz w:val="20"/>
                <w:szCs w:val="20"/>
              </w:rPr>
            </w:pPr>
            <w:r w:rsidDel="00000000" w:rsidR="00000000" w:rsidRPr="00000000">
              <w:rPr>
                <w:b w:val="1"/>
                <w:sz w:val="20"/>
                <w:szCs w:val="20"/>
                <w:rtl w:val="0"/>
              </w:rPr>
              <w:t xml:space="preserve">Condiciones de transporte:</w:t>
            </w:r>
          </w:p>
          <w:p w:rsidR="00000000" w:rsidDel="00000000" w:rsidP="00000000" w:rsidRDefault="00000000" w:rsidRPr="00000000" w14:paraId="000000DA">
            <w:pPr>
              <w:tabs>
                <w:tab w:val="left" w:pos="9214"/>
              </w:tabs>
              <w:spacing w:before="100" w:line="276" w:lineRule="auto"/>
              <w:ind w:right="142"/>
              <w:jc w:val="both"/>
              <w:rPr>
                <w:b w:val="1"/>
                <w:sz w:val="20"/>
                <w:szCs w:val="20"/>
              </w:rPr>
            </w:pPr>
            <w:r w:rsidDel="00000000" w:rsidR="00000000" w:rsidRPr="00000000">
              <w:rPr>
                <w:b w:val="1"/>
                <w:sz w:val="20"/>
                <w:szCs w:val="20"/>
                <w:rtl w:val="0"/>
              </w:rPr>
              <w:t xml:space="preserve">Muestra biológica categoría B</w:t>
            </w:r>
          </w:p>
        </w:tc>
      </w:tr>
      <w:tr>
        <w:tc>
          <w:tcPr>
            <w:gridSpan w:val="3"/>
            <w:shd w:fill="auto" w:val="clear"/>
          </w:tcPr>
          <w:p w:rsidR="00000000" w:rsidDel="00000000" w:rsidP="00000000" w:rsidRDefault="00000000" w:rsidRPr="00000000" w14:paraId="000000DB">
            <w:pPr>
              <w:tabs>
                <w:tab w:val="left" w:pos="9214"/>
              </w:tabs>
              <w:spacing w:before="100" w:line="276" w:lineRule="auto"/>
              <w:ind w:right="142"/>
              <w:jc w:val="both"/>
              <w:rPr>
                <w:sz w:val="20"/>
                <w:szCs w:val="20"/>
              </w:rPr>
            </w:pPr>
            <w:r w:rsidDel="00000000" w:rsidR="00000000" w:rsidRPr="00000000">
              <w:rPr>
                <w:b w:val="1"/>
                <w:sz w:val="20"/>
                <w:szCs w:val="20"/>
                <w:rtl w:val="0"/>
              </w:rPr>
              <w:t xml:space="preserve">Muestras Respiratorias</w:t>
            </w:r>
            <w:r w:rsidDel="00000000" w:rsidR="00000000" w:rsidRPr="00000000">
              <w:rPr>
                <w:rtl w:val="0"/>
              </w:rPr>
            </w:r>
          </w:p>
        </w:tc>
      </w:tr>
      <w:tr>
        <w:tc>
          <w:tcPr>
            <w:shd w:fill="auto" w:val="clear"/>
          </w:tcPr>
          <w:p w:rsidR="00000000" w:rsidDel="00000000" w:rsidP="00000000" w:rsidRDefault="00000000" w:rsidRPr="00000000" w14:paraId="000000DE">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214"/>
              </w:tabs>
              <w:spacing w:after="0" w:before="100" w:line="276" w:lineRule="auto"/>
              <w:ind w:left="360" w:right="142"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Exudado nasofaríngeo/orofaríngeo</w:t>
            </w:r>
          </w:p>
        </w:tc>
        <w:tc>
          <w:tcPr>
            <w:shd w:fill="auto" w:val="clear"/>
            <w:vAlign w:val="center"/>
          </w:tcPr>
          <w:p w:rsidR="00000000" w:rsidDel="00000000" w:rsidP="00000000" w:rsidRDefault="00000000" w:rsidRPr="00000000" w14:paraId="000000DF">
            <w:pPr>
              <w:tabs>
                <w:tab w:val="left" w:pos="9214"/>
              </w:tabs>
              <w:spacing w:before="100" w:line="276" w:lineRule="auto"/>
              <w:ind w:right="142"/>
              <w:jc w:val="both"/>
              <w:rPr>
                <w:sz w:val="20"/>
                <w:szCs w:val="20"/>
              </w:rPr>
            </w:pPr>
            <w:r w:rsidDel="00000000" w:rsidR="00000000" w:rsidRPr="00000000">
              <w:rPr>
                <w:sz w:val="20"/>
                <w:szCs w:val="20"/>
                <w:rtl w:val="0"/>
              </w:rPr>
              <w:t xml:space="preserve">Sí</w:t>
            </w:r>
          </w:p>
        </w:tc>
        <w:tc>
          <w:tcPr>
            <w:shd w:fill="auto" w:val="clear"/>
            <w:vAlign w:val="center"/>
          </w:tcPr>
          <w:p w:rsidR="00000000" w:rsidDel="00000000" w:rsidP="00000000" w:rsidRDefault="00000000" w:rsidRPr="00000000" w14:paraId="000000E0">
            <w:pPr>
              <w:tabs>
                <w:tab w:val="left" w:pos="9214"/>
              </w:tabs>
              <w:spacing w:before="100" w:line="276" w:lineRule="auto"/>
              <w:ind w:right="142"/>
              <w:jc w:val="both"/>
              <w:rPr>
                <w:sz w:val="20"/>
                <w:szCs w:val="20"/>
              </w:rPr>
            </w:pPr>
            <w:r w:rsidDel="00000000" w:rsidR="00000000" w:rsidRPr="00000000">
              <w:rPr>
                <w:sz w:val="20"/>
                <w:szCs w:val="20"/>
                <w:rtl w:val="0"/>
              </w:rPr>
              <w:t xml:space="preserve">Refrigerado a 4ºC en 24-48h</w:t>
            </w:r>
          </w:p>
        </w:tc>
      </w:tr>
      <w:tr>
        <w:tc>
          <w:tcPr>
            <w:shd w:fill="auto" w:val="clear"/>
          </w:tcPr>
          <w:p w:rsidR="00000000" w:rsidDel="00000000" w:rsidP="00000000" w:rsidRDefault="00000000" w:rsidRPr="00000000" w14:paraId="000000E1">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214"/>
              </w:tabs>
              <w:spacing w:after="0" w:before="100" w:line="276" w:lineRule="auto"/>
              <w:ind w:left="360" w:right="142"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Aspirado/lavado nasofaríngeo</w:t>
            </w:r>
          </w:p>
        </w:tc>
        <w:tc>
          <w:tcPr>
            <w:shd w:fill="auto" w:val="clear"/>
            <w:vAlign w:val="center"/>
          </w:tcPr>
          <w:p w:rsidR="00000000" w:rsidDel="00000000" w:rsidP="00000000" w:rsidRDefault="00000000" w:rsidRPr="00000000" w14:paraId="000000E2">
            <w:pPr>
              <w:tabs>
                <w:tab w:val="left" w:pos="9214"/>
              </w:tabs>
              <w:spacing w:before="100" w:line="276" w:lineRule="auto"/>
              <w:ind w:right="142"/>
              <w:jc w:val="both"/>
              <w:rPr>
                <w:sz w:val="20"/>
                <w:szCs w:val="20"/>
              </w:rPr>
            </w:pPr>
            <w:r w:rsidDel="00000000" w:rsidR="00000000" w:rsidRPr="00000000">
              <w:rPr>
                <w:sz w:val="20"/>
                <w:szCs w:val="20"/>
                <w:rtl w:val="0"/>
              </w:rPr>
              <w:t xml:space="preserve">No</w:t>
            </w:r>
          </w:p>
        </w:tc>
        <w:tc>
          <w:tcPr>
            <w:shd w:fill="auto" w:val="clear"/>
            <w:vAlign w:val="center"/>
          </w:tcPr>
          <w:p w:rsidR="00000000" w:rsidDel="00000000" w:rsidP="00000000" w:rsidRDefault="00000000" w:rsidRPr="00000000" w14:paraId="000000E3">
            <w:pPr>
              <w:tabs>
                <w:tab w:val="left" w:pos="9214"/>
              </w:tabs>
              <w:spacing w:before="100" w:line="276" w:lineRule="auto"/>
              <w:ind w:right="142"/>
              <w:jc w:val="both"/>
              <w:rPr>
                <w:sz w:val="20"/>
                <w:szCs w:val="20"/>
              </w:rPr>
            </w:pPr>
            <w:r w:rsidDel="00000000" w:rsidR="00000000" w:rsidRPr="00000000">
              <w:rPr>
                <w:sz w:val="20"/>
                <w:szCs w:val="20"/>
                <w:rtl w:val="0"/>
              </w:rPr>
              <w:t xml:space="preserve">Refrigerado a 4ºC en 24h</w:t>
            </w:r>
          </w:p>
        </w:tc>
      </w:tr>
      <w:tr>
        <w:tc>
          <w:tcPr>
            <w:shd w:fill="auto" w:val="clear"/>
          </w:tcPr>
          <w:p w:rsidR="00000000" w:rsidDel="00000000" w:rsidP="00000000" w:rsidRDefault="00000000" w:rsidRPr="00000000" w14:paraId="000000E4">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214"/>
              </w:tabs>
              <w:spacing w:after="0" w:before="100" w:line="276" w:lineRule="auto"/>
              <w:ind w:left="360" w:right="142"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Lavado broncoalveolar</w:t>
            </w:r>
          </w:p>
        </w:tc>
        <w:tc>
          <w:tcPr>
            <w:shd w:fill="auto" w:val="clear"/>
            <w:vAlign w:val="center"/>
          </w:tcPr>
          <w:p w:rsidR="00000000" w:rsidDel="00000000" w:rsidP="00000000" w:rsidRDefault="00000000" w:rsidRPr="00000000" w14:paraId="000000E5">
            <w:pPr>
              <w:tabs>
                <w:tab w:val="left" w:pos="9214"/>
              </w:tabs>
              <w:spacing w:before="100" w:line="276" w:lineRule="auto"/>
              <w:ind w:right="142"/>
              <w:jc w:val="both"/>
              <w:rPr>
                <w:sz w:val="20"/>
                <w:szCs w:val="20"/>
              </w:rPr>
            </w:pPr>
            <w:r w:rsidDel="00000000" w:rsidR="00000000" w:rsidRPr="00000000">
              <w:rPr>
                <w:sz w:val="20"/>
                <w:szCs w:val="20"/>
                <w:rtl w:val="0"/>
              </w:rPr>
              <w:t xml:space="preserve">No</w:t>
            </w:r>
          </w:p>
        </w:tc>
        <w:tc>
          <w:tcPr>
            <w:shd w:fill="auto" w:val="clear"/>
            <w:vAlign w:val="center"/>
          </w:tcPr>
          <w:p w:rsidR="00000000" w:rsidDel="00000000" w:rsidP="00000000" w:rsidRDefault="00000000" w:rsidRPr="00000000" w14:paraId="000000E6">
            <w:pPr>
              <w:tabs>
                <w:tab w:val="left" w:pos="9214"/>
              </w:tabs>
              <w:spacing w:before="100" w:line="276" w:lineRule="auto"/>
              <w:ind w:right="142"/>
              <w:jc w:val="both"/>
              <w:rPr>
                <w:sz w:val="20"/>
                <w:szCs w:val="20"/>
              </w:rPr>
            </w:pPr>
            <w:r w:rsidDel="00000000" w:rsidR="00000000" w:rsidRPr="00000000">
              <w:rPr>
                <w:sz w:val="20"/>
                <w:szCs w:val="20"/>
                <w:rtl w:val="0"/>
              </w:rPr>
              <w:t xml:space="preserve">Refrigerado a 4ºC en 24h</w:t>
            </w:r>
          </w:p>
        </w:tc>
      </w:tr>
      <w:tr>
        <w:tc>
          <w:tcPr>
            <w:shd w:fill="auto" w:val="clear"/>
          </w:tcPr>
          <w:p w:rsidR="00000000" w:rsidDel="00000000" w:rsidP="00000000" w:rsidRDefault="00000000" w:rsidRPr="00000000" w14:paraId="000000E7">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214"/>
              </w:tabs>
              <w:spacing w:after="0" w:before="100" w:line="276" w:lineRule="auto"/>
              <w:ind w:left="360" w:right="142"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Aspirado endotraqueal</w:t>
            </w:r>
          </w:p>
        </w:tc>
        <w:tc>
          <w:tcPr>
            <w:shd w:fill="auto" w:val="clear"/>
            <w:vAlign w:val="center"/>
          </w:tcPr>
          <w:p w:rsidR="00000000" w:rsidDel="00000000" w:rsidP="00000000" w:rsidRDefault="00000000" w:rsidRPr="00000000" w14:paraId="000000E8">
            <w:pPr>
              <w:tabs>
                <w:tab w:val="left" w:pos="9214"/>
              </w:tabs>
              <w:spacing w:before="100" w:line="276" w:lineRule="auto"/>
              <w:ind w:right="142"/>
              <w:jc w:val="both"/>
              <w:rPr>
                <w:sz w:val="20"/>
                <w:szCs w:val="20"/>
              </w:rPr>
            </w:pPr>
            <w:r w:rsidDel="00000000" w:rsidR="00000000" w:rsidRPr="00000000">
              <w:rPr>
                <w:sz w:val="20"/>
                <w:szCs w:val="20"/>
                <w:rtl w:val="0"/>
              </w:rPr>
              <w:t xml:space="preserve">No</w:t>
            </w:r>
          </w:p>
        </w:tc>
        <w:tc>
          <w:tcPr>
            <w:shd w:fill="auto" w:val="clear"/>
            <w:vAlign w:val="center"/>
          </w:tcPr>
          <w:p w:rsidR="00000000" w:rsidDel="00000000" w:rsidP="00000000" w:rsidRDefault="00000000" w:rsidRPr="00000000" w14:paraId="000000E9">
            <w:pPr>
              <w:tabs>
                <w:tab w:val="left" w:pos="9214"/>
              </w:tabs>
              <w:spacing w:before="100" w:line="276" w:lineRule="auto"/>
              <w:ind w:right="142"/>
              <w:jc w:val="both"/>
              <w:rPr>
                <w:sz w:val="20"/>
                <w:szCs w:val="20"/>
              </w:rPr>
            </w:pPr>
            <w:r w:rsidDel="00000000" w:rsidR="00000000" w:rsidRPr="00000000">
              <w:rPr>
                <w:sz w:val="20"/>
                <w:szCs w:val="20"/>
                <w:rtl w:val="0"/>
              </w:rPr>
              <w:t xml:space="preserve">Refrigerado a 4ºC en 24h</w:t>
            </w:r>
          </w:p>
        </w:tc>
      </w:tr>
      <w:tr>
        <w:tc>
          <w:tcPr>
            <w:shd w:fill="auto" w:val="clear"/>
          </w:tcPr>
          <w:p w:rsidR="00000000" w:rsidDel="00000000" w:rsidP="00000000" w:rsidRDefault="00000000" w:rsidRPr="00000000" w14:paraId="000000EA">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214"/>
              </w:tabs>
              <w:spacing w:after="0" w:before="100" w:line="276" w:lineRule="auto"/>
              <w:ind w:left="360" w:right="142"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Esputo</w:t>
            </w:r>
          </w:p>
        </w:tc>
        <w:tc>
          <w:tcPr>
            <w:shd w:fill="auto" w:val="clear"/>
            <w:vAlign w:val="center"/>
          </w:tcPr>
          <w:p w:rsidR="00000000" w:rsidDel="00000000" w:rsidP="00000000" w:rsidRDefault="00000000" w:rsidRPr="00000000" w14:paraId="000000EB">
            <w:pPr>
              <w:tabs>
                <w:tab w:val="left" w:pos="9214"/>
              </w:tabs>
              <w:spacing w:before="100" w:line="276" w:lineRule="auto"/>
              <w:ind w:right="142"/>
              <w:jc w:val="both"/>
              <w:rPr>
                <w:sz w:val="20"/>
                <w:szCs w:val="20"/>
              </w:rPr>
            </w:pPr>
            <w:r w:rsidDel="00000000" w:rsidR="00000000" w:rsidRPr="00000000">
              <w:rPr>
                <w:sz w:val="20"/>
                <w:szCs w:val="20"/>
                <w:rtl w:val="0"/>
              </w:rPr>
              <w:t xml:space="preserve">No</w:t>
            </w:r>
          </w:p>
        </w:tc>
        <w:tc>
          <w:tcPr>
            <w:shd w:fill="auto" w:val="clear"/>
            <w:vAlign w:val="center"/>
          </w:tcPr>
          <w:p w:rsidR="00000000" w:rsidDel="00000000" w:rsidP="00000000" w:rsidRDefault="00000000" w:rsidRPr="00000000" w14:paraId="000000EC">
            <w:pPr>
              <w:tabs>
                <w:tab w:val="left" w:pos="9214"/>
              </w:tabs>
              <w:spacing w:before="100" w:line="276" w:lineRule="auto"/>
              <w:ind w:right="142"/>
              <w:jc w:val="both"/>
              <w:rPr>
                <w:sz w:val="20"/>
                <w:szCs w:val="20"/>
              </w:rPr>
            </w:pPr>
            <w:r w:rsidDel="00000000" w:rsidR="00000000" w:rsidRPr="00000000">
              <w:rPr>
                <w:sz w:val="20"/>
                <w:szCs w:val="20"/>
                <w:rtl w:val="0"/>
              </w:rPr>
              <w:t xml:space="preserve">Refrigerado a 4ºC en 24h</w:t>
            </w:r>
          </w:p>
        </w:tc>
      </w:tr>
      <w:tr>
        <w:tc>
          <w:tcPr>
            <w:gridSpan w:val="3"/>
            <w:shd w:fill="auto" w:val="clear"/>
            <w:vAlign w:val="center"/>
          </w:tcPr>
          <w:p w:rsidR="00000000" w:rsidDel="00000000" w:rsidP="00000000" w:rsidRDefault="00000000" w:rsidRPr="00000000" w14:paraId="000000ED">
            <w:pPr>
              <w:tabs>
                <w:tab w:val="left" w:pos="9214"/>
              </w:tabs>
              <w:spacing w:before="100" w:line="276" w:lineRule="auto"/>
              <w:ind w:right="142"/>
              <w:jc w:val="both"/>
              <w:rPr>
                <w:sz w:val="20"/>
                <w:szCs w:val="20"/>
              </w:rPr>
            </w:pPr>
            <w:r w:rsidDel="00000000" w:rsidR="00000000" w:rsidRPr="00000000">
              <w:rPr>
                <w:b w:val="1"/>
                <w:sz w:val="20"/>
                <w:szCs w:val="20"/>
                <w:rtl w:val="0"/>
              </w:rPr>
              <w:t xml:space="preserve">Otras muestras</w:t>
            </w:r>
            <w:r w:rsidDel="00000000" w:rsidR="00000000" w:rsidRPr="00000000">
              <w:rPr>
                <w:rtl w:val="0"/>
              </w:rPr>
            </w:r>
          </w:p>
        </w:tc>
      </w:tr>
      <w:tr>
        <w:tc>
          <w:tcPr>
            <w:shd w:fill="auto" w:val="clear"/>
            <w:vAlign w:val="center"/>
          </w:tcPr>
          <w:p w:rsidR="00000000" w:rsidDel="00000000" w:rsidP="00000000" w:rsidRDefault="00000000" w:rsidRPr="00000000" w14:paraId="000000F0">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214"/>
              </w:tabs>
              <w:spacing w:after="0" w:before="100" w:line="276" w:lineRule="auto"/>
              <w:ind w:left="360" w:right="142"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Suero (2 muestras en fases aguda y convaleciente a los 14-30 días respectivamente)</w:t>
            </w:r>
          </w:p>
        </w:tc>
        <w:tc>
          <w:tcPr>
            <w:shd w:fill="auto" w:val="clear"/>
            <w:vAlign w:val="center"/>
          </w:tcPr>
          <w:p w:rsidR="00000000" w:rsidDel="00000000" w:rsidP="00000000" w:rsidRDefault="00000000" w:rsidRPr="00000000" w14:paraId="000000F1">
            <w:pPr>
              <w:tabs>
                <w:tab w:val="left" w:pos="9214"/>
              </w:tabs>
              <w:spacing w:before="100" w:line="276" w:lineRule="auto"/>
              <w:ind w:right="142"/>
              <w:jc w:val="both"/>
              <w:rPr>
                <w:sz w:val="20"/>
                <w:szCs w:val="20"/>
              </w:rPr>
            </w:pPr>
            <w:r w:rsidDel="00000000" w:rsidR="00000000" w:rsidRPr="00000000">
              <w:rPr>
                <w:sz w:val="20"/>
                <w:szCs w:val="20"/>
                <w:rtl w:val="0"/>
              </w:rPr>
              <w:t xml:space="preserve">No</w:t>
            </w:r>
          </w:p>
        </w:tc>
        <w:tc>
          <w:tcPr>
            <w:shd w:fill="auto" w:val="clear"/>
            <w:vAlign w:val="center"/>
          </w:tcPr>
          <w:p w:rsidR="00000000" w:rsidDel="00000000" w:rsidP="00000000" w:rsidRDefault="00000000" w:rsidRPr="00000000" w14:paraId="000000F2">
            <w:pPr>
              <w:tabs>
                <w:tab w:val="left" w:pos="9214"/>
              </w:tabs>
              <w:spacing w:before="100" w:line="276" w:lineRule="auto"/>
              <w:ind w:right="142"/>
              <w:jc w:val="both"/>
              <w:rPr>
                <w:sz w:val="20"/>
                <w:szCs w:val="20"/>
              </w:rPr>
            </w:pPr>
            <w:r w:rsidDel="00000000" w:rsidR="00000000" w:rsidRPr="00000000">
              <w:rPr>
                <w:sz w:val="20"/>
                <w:szCs w:val="20"/>
                <w:rtl w:val="0"/>
              </w:rPr>
              <w:t xml:space="preserve">Refrigerado a 4ºC</w:t>
            </w:r>
          </w:p>
        </w:tc>
      </w:tr>
      <w:tr>
        <w:tc>
          <w:tcPr>
            <w:shd w:fill="auto" w:val="clear"/>
            <w:vAlign w:val="center"/>
          </w:tcPr>
          <w:p w:rsidR="00000000" w:rsidDel="00000000" w:rsidP="00000000" w:rsidRDefault="00000000" w:rsidRPr="00000000" w14:paraId="000000F3">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214"/>
              </w:tabs>
              <w:spacing w:after="0" w:before="100" w:line="276" w:lineRule="auto"/>
              <w:ind w:left="360" w:right="142"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Biopsia/Necropsia de pulmón</w:t>
            </w:r>
          </w:p>
        </w:tc>
        <w:tc>
          <w:tcPr>
            <w:shd w:fill="auto" w:val="clear"/>
            <w:vAlign w:val="center"/>
          </w:tcPr>
          <w:p w:rsidR="00000000" w:rsidDel="00000000" w:rsidP="00000000" w:rsidRDefault="00000000" w:rsidRPr="00000000" w14:paraId="000000F4">
            <w:pPr>
              <w:tabs>
                <w:tab w:val="left" w:pos="9214"/>
              </w:tabs>
              <w:spacing w:before="100" w:line="276" w:lineRule="auto"/>
              <w:ind w:right="142"/>
              <w:jc w:val="both"/>
              <w:rPr>
                <w:sz w:val="20"/>
                <w:szCs w:val="20"/>
              </w:rPr>
            </w:pPr>
            <w:r w:rsidDel="00000000" w:rsidR="00000000" w:rsidRPr="00000000">
              <w:rPr>
                <w:sz w:val="20"/>
                <w:szCs w:val="20"/>
                <w:rtl w:val="0"/>
              </w:rPr>
              <w:t xml:space="preserve">No</w:t>
            </w:r>
          </w:p>
        </w:tc>
        <w:tc>
          <w:tcPr>
            <w:shd w:fill="auto" w:val="clear"/>
            <w:vAlign w:val="center"/>
          </w:tcPr>
          <w:p w:rsidR="00000000" w:rsidDel="00000000" w:rsidP="00000000" w:rsidRDefault="00000000" w:rsidRPr="00000000" w14:paraId="000000F5">
            <w:pPr>
              <w:tabs>
                <w:tab w:val="left" w:pos="9214"/>
              </w:tabs>
              <w:spacing w:before="100" w:line="276" w:lineRule="auto"/>
              <w:ind w:right="142"/>
              <w:jc w:val="both"/>
              <w:rPr>
                <w:sz w:val="20"/>
                <w:szCs w:val="20"/>
              </w:rPr>
            </w:pPr>
            <w:r w:rsidDel="00000000" w:rsidR="00000000" w:rsidRPr="00000000">
              <w:rPr>
                <w:sz w:val="20"/>
                <w:szCs w:val="20"/>
                <w:rtl w:val="0"/>
              </w:rPr>
              <w:t xml:space="preserve">Refrigerado a 4ºC en 24h</w:t>
            </w:r>
          </w:p>
        </w:tc>
      </w:tr>
      <w:tr>
        <w:tc>
          <w:tcPr>
            <w:shd w:fill="auto" w:val="clear"/>
            <w:vAlign w:val="center"/>
          </w:tcPr>
          <w:p w:rsidR="00000000" w:rsidDel="00000000" w:rsidP="00000000" w:rsidRDefault="00000000" w:rsidRPr="00000000" w14:paraId="000000F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214"/>
              </w:tabs>
              <w:spacing w:after="0" w:before="0" w:line="276" w:lineRule="auto"/>
              <w:ind w:left="360" w:right="142"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Sangre completa</w:t>
            </w:r>
          </w:p>
        </w:tc>
        <w:tc>
          <w:tcPr>
            <w:shd w:fill="auto" w:val="clear"/>
            <w:vAlign w:val="center"/>
          </w:tcPr>
          <w:p w:rsidR="00000000" w:rsidDel="00000000" w:rsidP="00000000" w:rsidRDefault="00000000" w:rsidRPr="00000000" w14:paraId="000000F7">
            <w:pPr>
              <w:tabs>
                <w:tab w:val="left" w:pos="9214"/>
              </w:tabs>
              <w:spacing w:before="100" w:line="276" w:lineRule="auto"/>
              <w:ind w:right="142"/>
              <w:jc w:val="both"/>
              <w:rPr>
                <w:sz w:val="20"/>
                <w:szCs w:val="20"/>
              </w:rPr>
            </w:pPr>
            <w:r w:rsidDel="00000000" w:rsidR="00000000" w:rsidRPr="00000000">
              <w:rPr>
                <w:sz w:val="20"/>
                <w:szCs w:val="20"/>
                <w:rtl w:val="0"/>
              </w:rPr>
              <w:t xml:space="preserve">No</w:t>
            </w:r>
          </w:p>
        </w:tc>
        <w:tc>
          <w:tcPr>
            <w:shd w:fill="auto" w:val="clear"/>
            <w:vAlign w:val="center"/>
          </w:tcPr>
          <w:p w:rsidR="00000000" w:rsidDel="00000000" w:rsidP="00000000" w:rsidRDefault="00000000" w:rsidRPr="00000000" w14:paraId="000000F8">
            <w:pPr>
              <w:tabs>
                <w:tab w:val="left" w:pos="9214"/>
              </w:tabs>
              <w:spacing w:before="100" w:line="276" w:lineRule="auto"/>
              <w:ind w:right="142"/>
              <w:jc w:val="both"/>
              <w:rPr>
                <w:sz w:val="20"/>
                <w:szCs w:val="20"/>
              </w:rPr>
            </w:pPr>
            <w:r w:rsidDel="00000000" w:rsidR="00000000" w:rsidRPr="00000000">
              <w:rPr>
                <w:sz w:val="20"/>
                <w:szCs w:val="20"/>
                <w:rtl w:val="0"/>
              </w:rPr>
              <w:t xml:space="preserve">Refrigerado a 4ºC</w:t>
            </w:r>
          </w:p>
        </w:tc>
      </w:tr>
      <w:tr>
        <w:tc>
          <w:tcPr>
            <w:shd w:fill="auto" w:val="clear"/>
            <w:vAlign w:val="center"/>
          </w:tcPr>
          <w:p w:rsidR="00000000" w:rsidDel="00000000" w:rsidP="00000000" w:rsidRDefault="00000000" w:rsidRPr="00000000" w14:paraId="000000F9">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214"/>
              </w:tabs>
              <w:spacing w:after="0" w:before="100" w:line="276" w:lineRule="auto"/>
              <w:ind w:left="360" w:right="142"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Orina </w:t>
            </w:r>
          </w:p>
        </w:tc>
        <w:tc>
          <w:tcPr>
            <w:shd w:fill="auto" w:val="clear"/>
            <w:vAlign w:val="center"/>
          </w:tcPr>
          <w:p w:rsidR="00000000" w:rsidDel="00000000" w:rsidP="00000000" w:rsidRDefault="00000000" w:rsidRPr="00000000" w14:paraId="000000FA">
            <w:pPr>
              <w:tabs>
                <w:tab w:val="left" w:pos="9214"/>
              </w:tabs>
              <w:spacing w:before="100" w:line="276" w:lineRule="auto"/>
              <w:ind w:right="142"/>
              <w:jc w:val="both"/>
              <w:rPr>
                <w:sz w:val="20"/>
                <w:szCs w:val="20"/>
              </w:rPr>
            </w:pPr>
            <w:r w:rsidDel="00000000" w:rsidR="00000000" w:rsidRPr="00000000">
              <w:rPr>
                <w:sz w:val="20"/>
                <w:szCs w:val="20"/>
                <w:rtl w:val="0"/>
              </w:rPr>
              <w:t xml:space="preserve">No</w:t>
            </w:r>
          </w:p>
        </w:tc>
        <w:tc>
          <w:tcPr>
            <w:shd w:fill="auto" w:val="clear"/>
            <w:vAlign w:val="center"/>
          </w:tcPr>
          <w:p w:rsidR="00000000" w:rsidDel="00000000" w:rsidP="00000000" w:rsidRDefault="00000000" w:rsidRPr="00000000" w14:paraId="000000FB">
            <w:pPr>
              <w:tabs>
                <w:tab w:val="left" w:pos="9214"/>
              </w:tabs>
              <w:spacing w:before="100" w:line="276" w:lineRule="auto"/>
              <w:ind w:right="142"/>
              <w:jc w:val="both"/>
              <w:rPr>
                <w:sz w:val="20"/>
                <w:szCs w:val="20"/>
              </w:rPr>
            </w:pPr>
            <w:r w:rsidDel="00000000" w:rsidR="00000000" w:rsidRPr="00000000">
              <w:rPr>
                <w:sz w:val="20"/>
                <w:szCs w:val="20"/>
                <w:rtl w:val="0"/>
              </w:rPr>
              <w:t xml:space="preserve">Refrigerado a 4ºC</w:t>
            </w:r>
          </w:p>
        </w:tc>
      </w:tr>
      <w:tr>
        <w:tc>
          <w:tcPr>
            <w:shd w:fill="auto" w:val="clear"/>
            <w:vAlign w:val="center"/>
          </w:tcPr>
          <w:p w:rsidR="00000000" w:rsidDel="00000000" w:rsidP="00000000" w:rsidRDefault="00000000" w:rsidRPr="00000000" w14:paraId="000000FC">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214"/>
              </w:tabs>
              <w:spacing w:after="0" w:before="100" w:line="276" w:lineRule="auto"/>
              <w:ind w:left="360" w:right="142"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Heces </w:t>
            </w:r>
          </w:p>
        </w:tc>
        <w:tc>
          <w:tcPr>
            <w:shd w:fill="auto" w:val="clear"/>
            <w:vAlign w:val="center"/>
          </w:tcPr>
          <w:p w:rsidR="00000000" w:rsidDel="00000000" w:rsidP="00000000" w:rsidRDefault="00000000" w:rsidRPr="00000000" w14:paraId="000000FD">
            <w:pPr>
              <w:tabs>
                <w:tab w:val="left" w:pos="9214"/>
              </w:tabs>
              <w:spacing w:before="100" w:line="276" w:lineRule="auto"/>
              <w:ind w:right="142"/>
              <w:jc w:val="both"/>
              <w:rPr>
                <w:sz w:val="20"/>
                <w:szCs w:val="20"/>
              </w:rPr>
            </w:pPr>
            <w:r w:rsidDel="00000000" w:rsidR="00000000" w:rsidRPr="00000000">
              <w:rPr>
                <w:sz w:val="20"/>
                <w:szCs w:val="20"/>
                <w:rtl w:val="0"/>
              </w:rPr>
              <w:t xml:space="preserve">No</w:t>
            </w:r>
          </w:p>
        </w:tc>
        <w:tc>
          <w:tcPr>
            <w:shd w:fill="auto" w:val="clear"/>
            <w:vAlign w:val="center"/>
          </w:tcPr>
          <w:p w:rsidR="00000000" w:rsidDel="00000000" w:rsidP="00000000" w:rsidRDefault="00000000" w:rsidRPr="00000000" w14:paraId="000000FE">
            <w:pPr>
              <w:tabs>
                <w:tab w:val="left" w:pos="9214"/>
              </w:tabs>
              <w:spacing w:before="100" w:line="276" w:lineRule="auto"/>
              <w:ind w:right="142"/>
              <w:jc w:val="both"/>
              <w:rPr>
                <w:sz w:val="20"/>
                <w:szCs w:val="20"/>
              </w:rPr>
            </w:pPr>
            <w:r w:rsidDel="00000000" w:rsidR="00000000" w:rsidRPr="00000000">
              <w:rPr>
                <w:sz w:val="20"/>
                <w:szCs w:val="20"/>
                <w:rtl w:val="0"/>
              </w:rPr>
              <w:t xml:space="preserve">Refrigerado a 4ºC</w:t>
            </w:r>
          </w:p>
        </w:tc>
      </w:tr>
    </w:tbl>
    <w:p w:rsidR="00000000" w:rsidDel="00000000" w:rsidP="00000000" w:rsidRDefault="00000000" w:rsidRPr="00000000" w14:paraId="000000FF">
      <w:pPr>
        <w:tabs>
          <w:tab w:val="left" w:pos="9214"/>
        </w:tabs>
        <w:spacing w:before="120" w:line="276" w:lineRule="auto"/>
        <w:ind w:left="708" w:right="142"/>
        <w:jc w:val="both"/>
        <w:rPr>
          <w:rFonts w:ascii="Calibri" w:cs="Calibri" w:eastAsia="Calibri" w:hAnsi="Calibri"/>
        </w:rPr>
      </w:pPr>
      <w:r w:rsidDel="00000000" w:rsidR="00000000" w:rsidRPr="00000000">
        <w:rPr>
          <w:rtl w:val="0"/>
        </w:rPr>
      </w:r>
    </w:p>
    <w:p w:rsidR="00000000" w:rsidDel="00000000" w:rsidP="00000000" w:rsidRDefault="00000000" w:rsidRPr="00000000" w14:paraId="00000100">
      <w:pPr>
        <w:tabs>
          <w:tab w:val="left" w:pos="9214"/>
        </w:tabs>
        <w:spacing w:before="120" w:line="276" w:lineRule="auto"/>
        <w:ind w:left="708" w:right="142"/>
        <w:jc w:val="both"/>
        <w:rPr/>
      </w:pPr>
      <w:r w:rsidDel="00000000" w:rsidR="00000000" w:rsidRPr="00000000">
        <w:rPr>
          <w:rtl w:val="0"/>
        </w:rPr>
        <w:t xml:space="preserve">Si transcurren más de 72 horas hasta el procesamiento de las muestras respiratorias refrigeradas se recomienda su congelación a -20ºC o, idealmente a -80ºC.</w:t>
      </w:r>
    </w:p>
    <w:p w:rsidR="00000000" w:rsidDel="00000000" w:rsidP="00000000" w:rsidRDefault="00000000" w:rsidRPr="00000000" w14:paraId="00000101">
      <w:pPr>
        <w:tabs>
          <w:tab w:val="left" w:pos="9214"/>
        </w:tabs>
        <w:spacing w:before="120" w:line="276" w:lineRule="auto"/>
        <w:ind w:left="708" w:right="142"/>
        <w:jc w:val="both"/>
        <w:rPr/>
      </w:pPr>
      <w:r w:rsidDel="00000000" w:rsidR="00000000" w:rsidRPr="00000000">
        <w:rPr>
          <w:rtl w:val="0"/>
        </w:rPr>
      </w:r>
    </w:p>
    <w:p w:rsidR="00000000" w:rsidDel="00000000" w:rsidP="00000000" w:rsidRDefault="00000000" w:rsidRPr="00000000" w14:paraId="00000102">
      <w:pPr>
        <w:tabs>
          <w:tab w:val="left" w:pos="9214"/>
        </w:tabs>
        <w:spacing w:before="120" w:line="276" w:lineRule="auto"/>
        <w:ind w:left="708" w:right="142"/>
        <w:jc w:val="both"/>
        <w:rPr/>
      </w:pPr>
      <w:r w:rsidDel="00000000" w:rsidR="00000000" w:rsidRPr="00000000">
        <w:rPr>
          <w:rtl w:val="0"/>
        </w:rPr>
      </w:r>
    </w:p>
    <w:p w:rsidR="00000000" w:rsidDel="00000000" w:rsidP="00000000" w:rsidRDefault="00000000" w:rsidRPr="00000000" w14:paraId="00000103">
      <w:pPr>
        <w:tabs>
          <w:tab w:val="left" w:pos="9214"/>
        </w:tabs>
        <w:spacing w:before="120" w:line="276" w:lineRule="auto"/>
        <w:ind w:left="708" w:right="142"/>
        <w:jc w:val="both"/>
        <w:rPr/>
      </w:pPr>
      <w:r w:rsidDel="00000000" w:rsidR="00000000" w:rsidRPr="00000000">
        <w:rPr>
          <w:rtl w:val="0"/>
        </w:rPr>
      </w:r>
    </w:p>
    <w:p w:rsidR="00000000" w:rsidDel="00000000" w:rsidP="00000000" w:rsidRDefault="00000000" w:rsidRPr="00000000" w14:paraId="00000104">
      <w:pPr>
        <w:tabs>
          <w:tab w:val="left" w:pos="9214"/>
        </w:tabs>
        <w:spacing w:before="120" w:line="276" w:lineRule="auto"/>
        <w:ind w:left="708" w:right="142"/>
        <w:jc w:val="both"/>
        <w:rPr/>
      </w:pPr>
      <w:r w:rsidDel="00000000" w:rsidR="00000000" w:rsidRPr="00000000">
        <w:rPr>
          <w:rtl w:val="0"/>
        </w:rPr>
      </w:r>
    </w:p>
    <w:p w:rsidR="00000000" w:rsidDel="00000000" w:rsidP="00000000" w:rsidRDefault="00000000" w:rsidRPr="00000000" w14:paraId="0000010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1"/>
          <w:i w:val="0"/>
          <w:smallCaps w:val="1"/>
          <w:strike w:val="0"/>
          <w:color w:val="002060"/>
          <w:sz w:val="22"/>
          <w:szCs w:val="22"/>
          <w:u w:val="none"/>
          <w:shd w:fill="auto" w:val="clear"/>
          <w:vertAlign w:val="baseline"/>
        </w:rPr>
      </w:pPr>
      <w:r w:rsidDel="00000000" w:rsidR="00000000" w:rsidRPr="00000000">
        <w:rPr>
          <w:rFonts w:ascii="Arial" w:cs="Arial" w:eastAsia="Arial" w:hAnsi="Arial"/>
          <w:b w:val="1"/>
          <w:i w:val="0"/>
          <w:smallCaps w:val="1"/>
          <w:strike w:val="0"/>
          <w:color w:val="002060"/>
          <w:sz w:val="22"/>
          <w:szCs w:val="22"/>
          <w:u w:val="none"/>
          <w:shd w:fill="auto" w:val="clear"/>
          <w:vertAlign w:val="baseline"/>
          <w:rtl w:val="0"/>
        </w:rPr>
        <w:t xml:space="preserve">MANEJO DE MUESTRAS PARA EL PERSONAL DE LABORATORIO</w:t>
      </w:r>
    </w:p>
    <w:p w:rsidR="00000000" w:rsidDel="00000000" w:rsidP="00000000" w:rsidRDefault="00000000" w:rsidRPr="00000000" w14:paraId="00000106">
      <w:pPr>
        <w:tabs>
          <w:tab w:val="left" w:pos="9214"/>
        </w:tabs>
        <w:spacing w:line="276" w:lineRule="auto"/>
        <w:ind w:right="142"/>
        <w:jc w:val="both"/>
        <w:rPr>
          <w:b w:val="1"/>
        </w:rPr>
      </w:pPr>
      <w:r w:rsidDel="00000000" w:rsidR="00000000" w:rsidRPr="00000000">
        <w:rPr>
          <w:rtl w:val="0"/>
        </w:rPr>
      </w:r>
    </w:p>
    <w:p w:rsidR="00000000" w:rsidDel="00000000" w:rsidP="00000000" w:rsidRDefault="00000000" w:rsidRPr="00000000" w14:paraId="00000107">
      <w:pPr>
        <w:pStyle w:val="Heading2"/>
        <w:numPr>
          <w:ilvl w:val="0"/>
          <w:numId w:val="2"/>
        </w:numPr>
        <w:shd w:fill="ffffff" w:val="clear"/>
        <w:tabs>
          <w:tab w:val="left" w:pos="9214"/>
        </w:tabs>
        <w:spacing w:before="0" w:line="276" w:lineRule="auto"/>
        <w:ind w:left="284" w:right="142" w:hanging="284"/>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Pautas para el personal de los laboratorios clínicos (bioquímica, hematología, inmunología, anatomía patológica, microbiología).</w:t>
      </w:r>
    </w:p>
    <w:p w:rsidR="00000000" w:rsidDel="00000000" w:rsidP="00000000" w:rsidRDefault="00000000" w:rsidRPr="00000000" w14:paraId="00000108">
      <w:pPr>
        <w:tabs>
          <w:tab w:val="left" w:pos="9214"/>
        </w:tabs>
        <w:ind w:right="142"/>
        <w:jc w:val="both"/>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ffffff" w:val="clear"/>
        <w:tabs>
          <w:tab w:val="left" w:pos="9214"/>
        </w:tabs>
        <w:spacing w:after="280" w:before="0" w:line="276" w:lineRule="auto"/>
        <w:ind w:left="0" w:right="142"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De forma general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personal que manipule muestras clínicas rutinarias (hemogramas, pruebas bioquímicas, análisis de orina, serología y otras pruebas diagnósticas en suero, sangre y orina) de pacientes ingresados con diagnóstico o sospecha de infección por SARS-CoV-2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deberá seguir las pautas estándar y recomendaciones generales de bioseguridad establecidas para los laboratorios de nivel BSL-2.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 (6) (7) (8).</w:t>
      </w: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ffffff" w:val="clear"/>
        <w:tabs>
          <w:tab w:val="left" w:pos="9214"/>
        </w:tabs>
        <w:spacing w:after="280" w:before="0" w:line="276" w:lineRule="auto"/>
        <w:ind w:left="0" w:right="14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De forma particular: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 igual que con cualquier muestra clínica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los procedimientos que puedan generar aerosoles de partículas finas (p. ej., vorteado o sonicación de muestras en tubo abierto) deberán realizarse en una campana de seguridad biológica (BSC) de clase II y deberán usarse dispositivos de contención física adecuados (rotores de centrífuga adecuados, cubetas de seguridad para la centrífuga, rotores sellados) ante la eventualidad de una rotura de los tubos que contienen las muestras durante el proceso de centrifugación. Los rotores tienen que ser cargados y descargados dentro de la cabina de seguridad. Deberá reducirse, en la medida de lo posible, todo procedimiento fuera de la cabina de seguridad.</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ffffff" w:val="clear"/>
        <w:tabs>
          <w:tab w:val="left" w:pos="9214"/>
        </w:tabs>
        <w:spacing w:after="280" w:before="0" w:line="276" w:lineRule="auto"/>
        <w:ind w:left="0" w:right="14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Después de procesar las muestras, se descontaminarán  las superficies de trabajo y el equipo con los desinfectantes hospitalarios habituales.  Se recomienda seguir las indicaciones de la OMS y el ECDC para la dilución de uso (es decir, la concentración), el tiempo de contacto y las precauciones de manejo (2) (6).</w:t>
      </w:r>
    </w:p>
    <w:p w:rsidR="00000000" w:rsidDel="00000000" w:rsidP="00000000" w:rsidRDefault="00000000" w:rsidRPr="00000000" w14:paraId="0000010C">
      <w:pPr>
        <w:pStyle w:val="Heading2"/>
        <w:numPr>
          <w:ilvl w:val="0"/>
          <w:numId w:val="2"/>
        </w:numPr>
        <w:shd w:fill="ffffff" w:val="clear"/>
        <w:tabs>
          <w:tab w:val="left" w:pos="9214"/>
        </w:tabs>
        <w:spacing w:before="0" w:line="276" w:lineRule="auto"/>
        <w:ind w:left="284" w:right="142" w:hanging="284"/>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Pautas específicas para el personal de los laboratorios</w:t>
      </w:r>
    </w:p>
    <w:p w:rsidR="00000000" w:rsidDel="00000000" w:rsidP="00000000" w:rsidRDefault="00000000" w:rsidRPr="00000000" w14:paraId="0000010D">
      <w:pPr>
        <w:tabs>
          <w:tab w:val="left" w:pos="9214"/>
        </w:tabs>
        <w:spacing w:line="276" w:lineRule="auto"/>
        <w:ind w:right="142"/>
        <w:jc w:val="both"/>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ffffff" w:val="clear"/>
        <w:tabs>
          <w:tab w:val="left" w:pos="9214"/>
        </w:tabs>
        <w:spacing w:after="280" w:before="0" w:line="276" w:lineRule="auto"/>
        <w:ind w:left="0" w:right="14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el momento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no se recomienda el aislamiento del virus en cultivos celulares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ni la caracterización inicial de agentes virales a partir de cultivos de muestras con SARS-CoV-2 para los laboratorios de diagnóstico rutinario,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 no ser que se realice en un laboratorio de seguridad BSL-3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ffffff" w:val="clear"/>
        <w:tabs>
          <w:tab w:val="left" w:pos="9214"/>
        </w:tabs>
        <w:spacing w:after="280" w:before="0" w:line="276" w:lineRule="auto"/>
        <w:ind w:left="0" w:right="14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siguientes actividades se pueden realizar en instalaciones BSL-2 utilizando prácticas de trabajo estándar para un laboratorio de nivel de bioseguridad BSL-2:</w:t>
      </w:r>
    </w:p>
    <w:p w:rsidR="00000000" w:rsidDel="00000000" w:rsidP="00000000" w:rsidRDefault="00000000" w:rsidRPr="00000000" w14:paraId="00000110">
      <w:pPr>
        <w:numPr>
          <w:ilvl w:val="0"/>
          <w:numId w:val="11"/>
        </w:numPr>
        <w:shd w:fill="ffffff" w:val="clear"/>
        <w:tabs>
          <w:tab w:val="left" w:pos="9214"/>
        </w:tabs>
        <w:spacing w:after="0" w:line="276" w:lineRule="auto"/>
        <w:ind w:left="720" w:right="142" w:hanging="360"/>
        <w:jc w:val="both"/>
        <w:rPr>
          <w:color w:val="000000"/>
        </w:rPr>
      </w:pPr>
      <w:r w:rsidDel="00000000" w:rsidR="00000000" w:rsidRPr="00000000">
        <w:rPr>
          <w:color w:val="000000"/>
          <w:rtl w:val="0"/>
        </w:rPr>
        <w:t xml:space="preserve">Examen anatomopatológico y procesamiento de tejidos fijados con formalina o tejidos inactivados.</w:t>
      </w:r>
    </w:p>
    <w:p w:rsidR="00000000" w:rsidDel="00000000" w:rsidP="00000000" w:rsidRDefault="00000000" w:rsidRPr="00000000" w14:paraId="00000111">
      <w:pPr>
        <w:numPr>
          <w:ilvl w:val="0"/>
          <w:numId w:val="11"/>
        </w:numPr>
        <w:shd w:fill="ffffff" w:val="clear"/>
        <w:tabs>
          <w:tab w:val="left" w:pos="9214"/>
        </w:tabs>
        <w:spacing w:after="0" w:line="276" w:lineRule="auto"/>
        <w:ind w:left="720" w:right="142" w:hanging="360"/>
        <w:jc w:val="both"/>
        <w:rPr>
          <w:color w:val="000000"/>
        </w:rPr>
      </w:pPr>
      <w:r w:rsidDel="00000000" w:rsidR="00000000" w:rsidRPr="00000000">
        <w:rPr>
          <w:color w:val="000000"/>
          <w:rtl w:val="0"/>
        </w:rPr>
        <w:t xml:space="preserve">Estudios de microscopía electrónica con rejillas fijas con glutaraldehído.</w:t>
      </w:r>
    </w:p>
    <w:p w:rsidR="00000000" w:rsidDel="00000000" w:rsidP="00000000" w:rsidRDefault="00000000" w:rsidRPr="00000000" w14:paraId="00000112">
      <w:pPr>
        <w:numPr>
          <w:ilvl w:val="0"/>
          <w:numId w:val="11"/>
        </w:numPr>
        <w:shd w:fill="ffffff" w:val="clear"/>
        <w:tabs>
          <w:tab w:val="left" w:pos="9214"/>
        </w:tabs>
        <w:spacing w:after="0" w:line="276" w:lineRule="auto"/>
        <w:ind w:left="720" w:right="142" w:hanging="360"/>
        <w:jc w:val="both"/>
        <w:rPr>
          <w:color w:val="000000"/>
        </w:rPr>
      </w:pPr>
      <w:r w:rsidDel="00000000" w:rsidR="00000000" w:rsidRPr="00000000">
        <w:rPr>
          <w:color w:val="000000"/>
          <w:rtl w:val="0"/>
        </w:rPr>
        <w:t xml:space="preserve">Examen de rutina de cultivos bacterianos y fúngicos.</w:t>
      </w:r>
    </w:p>
    <w:p w:rsidR="00000000" w:rsidDel="00000000" w:rsidP="00000000" w:rsidRDefault="00000000" w:rsidRPr="00000000" w14:paraId="00000113">
      <w:pPr>
        <w:numPr>
          <w:ilvl w:val="0"/>
          <w:numId w:val="11"/>
        </w:numPr>
        <w:shd w:fill="ffffff" w:val="clear"/>
        <w:tabs>
          <w:tab w:val="left" w:pos="9214"/>
        </w:tabs>
        <w:spacing w:after="0" w:line="276" w:lineRule="auto"/>
        <w:ind w:left="720" w:right="142" w:hanging="360"/>
        <w:jc w:val="both"/>
        <w:rPr>
          <w:color w:val="000000"/>
        </w:rPr>
      </w:pPr>
      <w:r w:rsidDel="00000000" w:rsidR="00000000" w:rsidRPr="00000000">
        <w:rPr>
          <w:color w:val="000000"/>
          <w:rtl w:val="0"/>
        </w:rPr>
        <w:t xml:space="preserve">Tinciones de rutina y análisis microscópico de frotis fijados.</w:t>
      </w:r>
    </w:p>
    <w:p w:rsidR="00000000" w:rsidDel="00000000" w:rsidP="00000000" w:rsidRDefault="00000000" w:rsidRPr="00000000" w14:paraId="00000114">
      <w:pPr>
        <w:numPr>
          <w:ilvl w:val="0"/>
          <w:numId w:val="11"/>
        </w:numPr>
        <w:shd w:fill="ffffff" w:val="clear"/>
        <w:tabs>
          <w:tab w:val="left" w:pos="9214"/>
        </w:tabs>
        <w:spacing w:after="0" w:line="276" w:lineRule="auto"/>
        <w:ind w:left="720" w:right="142" w:hanging="360"/>
        <w:jc w:val="both"/>
        <w:rPr>
          <w:color w:val="000000"/>
        </w:rPr>
      </w:pPr>
      <w:r w:rsidDel="00000000" w:rsidR="00000000" w:rsidRPr="00000000">
        <w:rPr>
          <w:color w:val="000000"/>
          <w:rtl w:val="0"/>
        </w:rPr>
        <w:t xml:space="preserve">Empaquetado de muestras para su transporte a laboratorios de diagnóstico. </w:t>
      </w:r>
    </w:p>
    <w:p w:rsidR="00000000" w:rsidDel="00000000" w:rsidP="00000000" w:rsidRDefault="00000000" w:rsidRPr="00000000" w14:paraId="00000115">
      <w:pPr>
        <w:numPr>
          <w:ilvl w:val="0"/>
          <w:numId w:val="11"/>
        </w:numPr>
        <w:shd w:fill="ffffff" w:val="clear"/>
        <w:tabs>
          <w:tab w:val="left" w:pos="9214"/>
        </w:tabs>
        <w:spacing w:after="280" w:line="276" w:lineRule="auto"/>
        <w:ind w:left="720" w:right="142" w:hanging="360"/>
        <w:jc w:val="both"/>
        <w:rPr>
          <w:color w:val="000000"/>
        </w:rPr>
      </w:pPr>
      <w:r w:rsidDel="00000000" w:rsidR="00000000" w:rsidRPr="00000000">
        <w:rPr>
          <w:color w:val="000000"/>
          <w:rtl w:val="0"/>
        </w:rPr>
        <w:t xml:space="preserve">Muestras inactivadas (p. ej. muestras en tampón de extracción de ácidos nucleicos)</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ffffff" w:val="clear"/>
        <w:tabs>
          <w:tab w:val="left" w:pos="9214"/>
        </w:tabs>
        <w:spacing w:after="280" w:before="0" w:line="276" w:lineRule="auto"/>
        <w:ind w:left="0" w:right="14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siguientes actividades que implican la manipulación de muestras potencialmente infecciosas deben realizarse, como mínimo, en una cabina de seguridad BSC de Clase II. Se debe realizar una evaluación de riesgo específica del sitio para determinar si se precisan mayores precauciones de seguridad (por ejemplo, al manipular grandes volúmenes de muestra):</w:t>
      </w:r>
    </w:p>
    <w:p w:rsidR="00000000" w:rsidDel="00000000" w:rsidP="00000000" w:rsidRDefault="00000000" w:rsidRPr="00000000" w14:paraId="00000117">
      <w:pPr>
        <w:numPr>
          <w:ilvl w:val="0"/>
          <w:numId w:val="14"/>
        </w:numPr>
        <w:shd w:fill="ffffff" w:val="clear"/>
        <w:tabs>
          <w:tab w:val="left" w:pos="9214"/>
        </w:tabs>
        <w:spacing w:after="0" w:line="276" w:lineRule="auto"/>
        <w:ind w:left="720" w:right="142" w:hanging="360"/>
        <w:jc w:val="both"/>
        <w:rPr>
          <w:color w:val="000000"/>
        </w:rPr>
      </w:pPr>
      <w:r w:rsidDel="00000000" w:rsidR="00000000" w:rsidRPr="00000000">
        <w:rPr>
          <w:color w:val="000000"/>
          <w:rtl w:val="0"/>
        </w:rPr>
        <w:t xml:space="preserve">Alicuotar y / o diluir muestras</w:t>
      </w:r>
    </w:p>
    <w:p w:rsidR="00000000" w:rsidDel="00000000" w:rsidP="00000000" w:rsidRDefault="00000000" w:rsidRPr="00000000" w14:paraId="00000118">
      <w:pPr>
        <w:numPr>
          <w:ilvl w:val="0"/>
          <w:numId w:val="14"/>
        </w:numPr>
        <w:shd w:fill="ffffff" w:val="clear"/>
        <w:tabs>
          <w:tab w:val="left" w:pos="9214"/>
        </w:tabs>
        <w:spacing w:after="0" w:line="276" w:lineRule="auto"/>
        <w:ind w:left="720" w:right="142" w:hanging="360"/>
        <w:jc w:val="both"/>
        <w:rPr>
          <w:color w:val="000000"/>
        </w:rPr>
      </w:pPr>
      <w:r w:rsidDel="00000000" w:rsidR="00000000" w:rsidRPr="00000000">
        <w:rPr>
          <w:color w:val="000000"/>
          <w:rtl w:val="0"/>
        </w:rPr>
        <w:t xml:space="preserve">Inactivación de muestras </w:t>
      </w:r>
    </w:p>
    <w:p w:rsidR="00000000" w:rsidDel="00000000" w:rsidP="00000000" w:rsidRDefault="00000000" w:rsidRPr="00000000" w14:paraId="00000119">
      <w:pPr>
        <w:numPr>
          <w:ilvl w:val="0"/>
          <w:numId w:val="14"/>
        </w:numPr>
        <w:shd w:fill="ffffff" w:val="clear"/>
        <w:tabs>
          <w:tab w:val="left" w:pos="9214"/>
        </w:tabs>
        <w:spacing w:after="0" w:line="276" w:lineRule="auto"/>
        <w:ind w:left="720" w:right="142" w:hanging="360"/>
        <w:jc w:val="both"/>
        <w:rPr>
          <w:color w:val="000000"/>
        </w:rPr>
      </w:pPr>
      <w:r w:rsidDel="00000000" w:rsidR="00000000" w:rsidRPr="00000000">
        <w:rPr>
          <w:color w:val="000000"/>
          <w:rtl w:val="0"/>
        </w:rPr>
        <w:t xml:space="preserve">Inoculación de medios de cultivo bacterianos o micológicos</w:t>
      </w:r>
    </w:p>
    <w:p w:rsidR="00000000" w:rsidDel="00000000" w:rsidP="00000000" w:rsidRDefault="00000000" w:rsidRPr="00000000" w14:paraId="0000011A">
      <w:pPr>
        <w:numPr>
          <w:ilvl w:val="0"/>
          <w:numId w:val="14"/>
        </w:numPr>
        <w:shd w:fill="ffffff" w:val="clear"/>
        <w:tabs>
          <w:tab w:val="left" w:pos="9214"/>
        </w:tabs>
        <w:spacing w:after="280" w:line="276" w:lineRule="auto"/>
        <w:ind w:left="720" w:right="142" w:hanging="360"/>
        <w:jc w:val="both"/>
        <w:rPr>
          <w:color w:val="000000"/>
        </w:rPr>
      </w:pPr>
      <w:r w:rsidDel="00000000" w:rsidR="00000000" w:rsidRPr="00000000">
        <w:rPr>
          <w:color w:val="000000"/>
          <w:rtl w:val="0"/>
        </w:rPr>
        <w:t xml:space="preserve">Preparación y fijación química o térmica de frotis para análisis microscópico.</w:t>
      </w:r>
    </w:p>
    <w:p w:rsidR="00000000" w:rsidDel="00000000" w:rsidP="00000000" w:rsidRDefault="00000000" w:rsidRPr="00000000" w14:paraId="0000011B">
      <w:pPr>
        <w:rPr>
          <w:color w:val="000000"/>
        </w:rPr>
      </w:pPr>
      <w:r w:rsidDel="00000000" w:rsidR="00000000" w:rsidRPr="00000000">
        <w:rPr>
          <w:rtl w:val="0"/>
        </w:rPr>
      </w:r>
    </w:p>
    <w:p w:rsidR="00000000" w:rsidDel="00000000" w:rsidP="00000000" w:rsidRDefault="00000000" w:rsidRPr="00000000" w14:paraId="0000011C">
      <w:pPr>
        <w:rPr>
          <w:color w:val="000000"/>
        </w:rPr>
      </w:pPr>
      <w:r w:rsidDel="00000000" w:rsidR="00000000" w:rsidRPr="00000000">
        <w:rPr>
          <w:rtl w:val="0"/>
        </w:rPr>
      </w:r>
    </w:p>
    <w:p w:rsidR="00000000" w:rsidDel="00000000" w:rsidP="00000000" w:rsidRDefault="00000000" w:rsidRPr="00000000" w14:paraId="0000011D">
      <w:pPr>
        <w:rPr>
          <w:b w:val="1"/>
          <w:smallCaps w:val="1"/>
          <w:color w:val="002060"/>
        </w:rPr>
      </w:pPr>
      <w:r w:rsidDel="00000000" w:rsidR="00000000" w:rsidRPr="00000000">
        <w:rPr>
          <w:b w:val="1"/>
          <w:smallCaps w:val="1"/>
          <w:color w:val="002060"/>
          <w:rtl w:val="0"/>
        </w:rPr>
        <w:t xml:space="preserve">BIBLIOGRAFÍA</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left" w:pos="9214"/>
        </w:tabs>
        <w:spacing w:after="0" w:before="0" w:line="240" w:lineRule="auto"/>
        <w:ind w:left="720" w:right="142" w:hanging="720"/>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214"/>
        </w:tabs>
        <w:spacing w:after="0" w:before="0" w:line="240" w:lineRule="auto"/>
        <w:ind w:left="720" w:right="142" w:hanging="360"/>
        <w:jc w:val="left"/>
        <w:rPr>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Biosafety in Microbiological and Biomedical Laboratories (BMBL) 5th Edition | CDC Laboratory Portal | CDC [Internet]. 2019 [cited 2020 Feb 12]. Available from: </w:t>
      </w:r>
      <w:hyperlink r:id="rId18">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https://www.cdc.gov/labs/BMBL.html?CDC_AA_refVal=https%3A%2F%2Fwww.cdc.gov%2Fbiosafety%2Fpublications%2Fbmbl5%2Findex.htm</w:t>
        </w:r>
      </w:hyperlink>
      <w:r w:rsidDel="00000000" w:rsidR="00000000" w:rsidRPr="00000000">
        <w:rPr>
          <w:rtl w:val="0"/>
        </w:rPr>
      </w:r>
    </w:p>
    <w:p w:rsidR="00000000" w:rsidDel="00000000" w:rsidP="00000000" w:rsidRDefault="00000000" w:rsidRPr="00000000" w14:paraId="0000012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214"/>
        </w:tabs>
        <w:spacing w:after="0" w:before="0" w:line="240" w:lineRule="auto"/>
        <w:ind w:left="720" w:right="142" w:hanging="360"/>
        <w:jc w:val="left"/>
        <w:rPr>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UNECE. Instrucción de Embalaje  P650. Available from: </w:t>
      </w:r>
      <w:hyperlink r:id="rId19">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http://www.safetyway.es/images/PDF/P650_adr.pdf</w:t>
        </w:r>
      </w:hyperlink>
      <w:r w:rsidDel="00000000" w:rsidR="00000000" w:rsidRPr="00000000">
        <w:rPr>
          <w:rtl w:val="0"/>
        </w:rPr>
      </w:r>
    </w:p>
    <w:p w:rsidR="00000000" w:rsidDel="00000000" w:rsidP="00000000" w:rsidRDefault="00000000" w:rsidRPr="00000000" w14:paraId="00000121">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214"/>
        </w:tabs>
        <w:spacing w:after="0" w:before="0" w:line="240" w:lineRule="auto"/>
        <w:ind w:left="720" w:right="142"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European Agreement concerning the International Carriage of Dangerous Goods by Road. ADR 2019. Available from:</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   </w:t>
      </w:r>
      <w:hyperlink r:id="rId20">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https://www.unece.org/index.php?id=50858&amp;no_cache=1</w:t>
        </w:r>
      </w:hyperlink>
      <w:r w:rsidDel="00000000" w:rsidR="00000000" w:rsidRPr="00000000">
        <w:rPr>
          <w:rtl w:val="0"/>
        </w:rPr>
      </w:r>
    </w:p>
    <w:p w:rsidR="00000000" w:rsidDel="00000000" w:rsidP="00000000" w:rsidRDefault="00000000" w:rsidRPr="00000000" w14:paraId="0000012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214"/>
        </w:tabs>
        <w:spacing w:after="0" w:before="0" w:line="276" w:lineRule="auto"/>
        <w:ind w:left="720" w:right="142" w:hanging="360"/>
        <w:jc w:val="left"/>
        <w:rPr>
          <w:b w:val="0"/>
          <w:i w:val="0"/>
          <w:smallCaps w:val="0"/>
          <w:strike w:val="0"/>
          <w:color w:val="000000"/>
          <w:sz w:val="20"/>
          <w:szCs w:val="20"/>
          <w:u w:val="none"/>
          <w:shd w:fill="auto" w:val="clear"/>
          <w:vertAlign w:val="baseline"/>
        </w:rPr>
      </w:pPr>
      <w:hyperlink r:id="rId21">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https://www.iata.org/en/programs/cargo/dgr/</w:t>
        </w:r>
      </w:hyperlink>
      <w:r w:rsidDel="00000000" w:rsidR="00000000" w:rsidRPr="00000000">
        <w:rPr>
          <w:rtl w:val="0"/>
        </w:rPr>
      </w:r>
    </w:p>
    <w:p w:rsidR="00000000" w:rsidDel="00000000" w:rsidP="00000000" w:rsidRDefault="00000000" w:rsidRPr="00000000" w14:paraId="00000123">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214"/>
        </w:tabs>
        <w:spacing w:after="0" w:before="0" w:line="276" w:lineRule="auto"/>
        <w:ind w:left="720" w:right="142"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ECDC. Infection prevention and control for the care of patients with 2019-nCoV in healthcare settings. February 2020. Available from </w:t>
      </w:r>
      <w:hyperlink r:id="rId22">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https://www.ecdc.europa.eu/sites/default/files/documents/nove-coronavirus-infection-prevention-control-patients-healthcare-settings.pdf</w:t>
        </w:r>
      </w:hyperlink>
      <w:r w:rsidDel="00000000" w:rsidR="00000000" w:rsidRPr="00000000">
        <w:rPr>
          <w:rtl w:val="0"/>
        </w:rPr>
      </w:r>
    </w:p>
    <w:p w:rsidR="00000000" w:rsidDel="00000000" w:rsidP="00000000" w:rsidRDefault="00000000" w:rsidRPr="00000000" w14:paraId="00000124">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214"/>
        </w:tabs>
        <w:spacing w:after="0" w:before="0" w:line="276" w:lineRule="auto"/>
        <w:ind w:left="720" w:right="142" w:hanging="360"/>
        <w:jc w:val="left"/>
        <w:rPr>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 Laboratory biorisk management for laboratories handling human specimens suspected or confirmed to contain novel coronavirus: Interim recommendations. February 2013. Available from: </w:t>
      </w:r>
      <w:hyperlink r:id="rId23">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https://www.who.int/csr/disease/coronavirus_infections/Biosafety_InterimRecommendations_NovelCoronavirus_19Feb13.pdf?ua=1</w:t>
        </w:r>
      </w:hyperlink>
      <w:r w:rsidDel="00000000" w:rsidR="00000000" w:rsidRPr="00000000">
        <w:rPr>
          <w:rtl w:val="0"/>
        </w:rPr>
      </w:r>
    </w:p>
    <w:p w:rsidR="00000000" w:rsidDel="00000000" w:rsidP="00000000" w:rsidRDefault="00000000" w:rsidRPr="00000000" w14:paraId="00000125">
      <w:pPr>
        <w:pStyle w:val="Heading1"/>
        <w:numPr>
          <w:ilvl w:val="0"/>
          <w:numId w:val="6"/>
        </w:numPr>
        <w:shd w:fill="ffffff" w:val="clear"/>
        <w:tabs>
          <w:tab w:val="left" w:pos="-720"/>
        </w:tabs>
        <w:ind w:left="720" w:hanging="360"/>
        <w:rPr>
          <w:b w:val="0"/>
          <w:color w:val="000000"/>
          <w:sz w:val="20"/>
          <w:szCs w:val="20"/>
          <w:u w:val="single"/>
        </w:rPr>
      </w:pPr>
      <w:r w:rsidDel="00000000" w:rsidR="00000000" w:rsidRPr="00000000">
        <w:rPr>
          <w:rFonts w:ascii="Arial" w:cs="Arial" w:eastAsia="Arial" w:hAnsi="Arial"/>
          <w:b w:val="0"/>
          <w:sz w:val="20"/>
          <w:szCs w:val="20"/>
          <w:rtl w:val="0"/>
        </w:rPr>
        <w:t xml:space="preserve">CDC. Interim Laboratory Biosafety Guidelines for Handling and Processing Specimens Associated with 2019 Novel Coronavirus (2019-nCoV). February 2020. Available from: </w:t>
      </w:r>
      <w:hyperlink r:id="rId24">
        <w:r w:rsidDel="00000000" w:rsidR="00000000" w:rsidRPr="00000000">
          <w:rPr>
            <w:rFonts w:ascii="Arial" w:cs="Arial" w:eastAsia="Arial" w:hAnsi="Arial"/>
            <w:b w:val="0"/>
            <w:color w:val="000000"/>
            <w:sz w:val="20"/>
            <w:szCs w:val="20"/>
            <w:u w:val="single"/>
            <w:rtl w:val="0"/>
          </w:rPr>
          <w:t xml:space="preserve">https://www.cdc.gov/coronavirus/2019-nCoV/lab/lab-biosafety-guidelines.html</w:t>
        </w:r>
      </w:hyperlink>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Reglamento ADR 2019. </w:t>
      </w:r>
      <w:hyperlink r:id="rId25">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https://www.mitma.gob.es/transporte-terrestre/mercancias-peligrosas-y-perecederas/adr2019</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 Decreto 664/1997, de 12 de mayo, sobre la protección de los trabajadores contra los riesgos relacionados con la exposición a agentes biológicos. </w:t>
      </w:r>
      <w:hyperlink r:id="rId26">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https://www.boe.es/eli/es/rd/1997/05/12/664/con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NTP 628: Riesgo biológico en el transporte de muestras y materiales infecciosos. Instituto de Seguridad y Salud en el Trabajo.  </w:t>
      </w:r>
    </w:p>
    <w:sectPr>
      <w:headerReference r:id="rId27" w:type="default"/>
      <w:headerReference r:id="rId28" w:type="first"/>
      <w:footerReference r:id="rId29" w:type="default"/>
      <w:footerReference r:id="rId30" w:type="even"/>
      <w:pgSz w:h="16838" w:w="11906"/>
      <w:pgMar w:bottom="1417" w:top="1417" w:left="1701" w:right="155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eorgia"/>
  <w:font w:name="Noto Sans Symbols"/>
  <w:font w:name="Courier New"/>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Procedimiento de actuación frente a casos de nuevo coronavirus. Actualización 14.03.2020</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8755.0" w:type="dxa"/>
      <w:jc w:val="left"/>
      <w:tblInd w:w="108.0" w:type="dxa"/>
      <w:tblLayout w:type="fixed"/>
      <w:tblLook w:val="0000"/>
    </w:tblPr>
    <w:tblGrid>
      <w:gridCol w:w="8313"/>
      <w:gridCol w:w="221"/>
      <w:gridCol w:w="221"/>
      <w:tblGridChange w:id="0">
        <w:tblGrid>
          <w:gridCol w:w="8313"/>
          <w:gridCol w:w="221"/>
          <w:gridCol w:w="221"/>
        </w:tblGrid>
      </w:tblGridChange>
    </w:tblGrid>
    <w:tr>
      <w:trPr>
        <w:trHeight w:val="1258" w:hRule="atLeast"/>
      </w:trPr>
      <w:tc>
        <w:tcPr>
          <w:shd w:fill="auto" w:val="clear"/>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10426.0" w:type="dxa"/>
            <w:jc w:val="left"/>
            <w:tblLayout w:type="fixed"/>
            <w:tblLook w:val="0000"/>
          </w:tblPr>
          <w:tblGrid>
            <w:gridCol w:w="3699"/>
            <w:gridCol w:w="5373"/>
            <w:gridCol w:w="1354"/>
            <w:tblGridChange w:id="0">
              <w:tblGrid>
                <w:gridCol w:w="3699"/>
                <w:gridCol w:w="5373"/>
                <w:gridCol w:w="1354"/>
              </w:tblGrid>
            </w:tblGridChange>
          </w:tblGrid>
          <w:tr>
            <w:trPr>
              <w:trHeight w:val="1258" w:hRule="atLeast"/>
            </w:trPr>
            <w:tc>
              <w:tcPr>
                <w:shd w:fill="auto" w:val="clear"/>
              </w:tcPr>
              <w:p w:rsidR="00000000" w:rsidDel="00000000" w:rsidP="00000000" w:rsidRDefault="00000000" w:rsidRPr="00000000" w14:paraId="0000012C">
                <w:pPr>
                  <w:tabs>
                    <w:tab w:val="left" w:pos="6390"/>
                  </w:tabs>
                  <w:spacing w:after="120" w:lineRule="auto"/>
                  <w:ind w:left="-392" w:right="1" w:firstLine="392"/>
                  <w:jc w:val="both"/>
                  <w:rPr>
                    <w:b w:val="1"/>
                    <w:i w:val="1"/>
                    <w:color w:val="ff0000"/>
                    <w:sz w:val="20"/>
                    <w:szCs w:val="20"/>
                  </w:rPr>
                </w:pPr>
                <w:r w:rsidDel="00000000" w:rsidR="00000000" w:rsidRPr="00000000">
                  <w:rPr>
                    <w:b w:val="1"/>
                    <w:i w:val="1"/>
                    <w:color w:val="ff0000"/>
                    <w:sz w:val="20"/>
                    <w:szCs w:val="20"/>
                  </w:rPr>
                  <w:drawing>
                    <wp:inline distB="0" distT="0" distL="0" distR="0">
                      <wp:extent cx="2426335" cy="788035"/>
                      <wp:effectExtent b="0" l="0" r="0" t="0"/>
                      <wp:docPr id="8"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2426335" cy="788035"/>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12D">
                <w:pPr>
                  <w:tabs>
                    <w:tab w:val="left" w:pos="3030"/>
                    <w:tab w:val="left" w:pos="6390"/>
                  </w:tabs>
                  <w:spacing w:after="120" w:lineRule="auto"/>
                  <w:ind w:right="1"/>
                  <w:jc w:val="both"/>
                  <w:rPr>
                    <w:b w:val="1"/>
                    <w:i w:val="1"/>
                    <w:color w:val="ff0000"/>
                    <w:sz w:val="20"/>
                    <w:szCs w:val="2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-30479</wp:posOffset>
                          </wp:positionH>
                          <wp:positionV relativeFrom="paragraph">
                            <wp:posOffset>-16509</wp:posOffset>
                          </wp:positionV>
                          <wp:extent cx="1452880" cy="398780"/>
                          <wp:effectExtent b="5715" l="7620" r="6350" t="5080"/>
                          <wp:wrapNone/>
                          <wp:docPr id="3" name=""/>
                          <a:graphic>
                            <a:graphicData uri="http://schemas.microsoft.com/office/word/2010/wordprocessingShape">
                              <wps:wsp>
                                <wps:cNvSpPr txBox="1">
                                  <a:spLocks noChangeArrowheads="1"/>
                                </wps:cNvSpPr>
                                <wps:spPr bwMode="auto">
                                  <a:xfrm>
                                    <a:off x="0" y="0"/>
                                    <a:ext cx="1452880" cy="398780"/>
                                  </a:xfrm>
                                  <a:prstGeom prst="rect">
                                    <a:avLst/>
                                  </a:prstGeom>
                                  <a:pattFill prst="smConfetti">
                                    <a:fgClr>
                                      <a:srgbClr val="C0C0C0"/>
                                    </a:fgClr>
                                    <a:bgClr>
                                      <a:srgbClr val="FFFFFF"/>
                                    </a:bgClr>
                                  </a:pattFill>
                                  <a:ln w="9525">
                                    <a:solidFill>
                                      <a:srgbClr val="000000"/>
                                    </a:solidFill>
                                    <a:miter lim="800000"/>
                                    <a:headEnd/>
                                    <a:tailEnd/>
                                  </a:ln>
                                </wps:spPr>
                                <wps:txbx>
                                  <w:txbxContent>
                                    <w:p w:rsidR="00D602D4" w:rsidDel="00000000" w:rsidP="00771F83" w:rsidRDefault="00D602D4" w:rsidRPr="00E76C12">
                                      <w:pPr>
                                        <w:rPr>
                                          <w:sz w:val="14"/>
                                          <w:szCs w:val="14"/>
                                        </w:rPr>
                                      </w:pPr>
                                      <w:r w:rsidDel="00000000" w:rsidR="00000000" w:rsidRPr="00E76C12">
                                        <w:rPr>
                                          <w:sz w:val="14"/>
                                          <w:szCs w:val="14"/>
                                        </w:rPr>
                                        <w:t xml:space="preserve">DIRECCIÓN GENERAL </w:t>
                                      </w:r>
                                      <w:proofErr w:type="gramStart"/>
                                      <w:r w:rsidDel="00000000" w:rsidR="00000000" w:rsidRPr="00E76C12">
                                        <w:rPr>
                                          <w:sz w:val="14"/>
                                          <w:szCs w:val="14"/>
                                        </w:rPr>
                                        <w:t>DE  SALUD</w:t>
                                      </w:r>
                                      <w:proofErr w:type="gramEnd"/>
                                      <w:r w:rsidDel="00000000" w:rsidR="00000000" w:rsidRPr="00E76C12">
                                        <w:rPr>
                                          <w:sz w:val="14"/>
                                          <w:szCs w:val="14"/>
                                        </w:rPr>
                                        <w:t xml:space="preserve"> P</w:t>
                                      </w:r>
                                      <w:r w:rsidDel="00000000" w:rsidR="00000000" w:rsidRPr="00000000">
                                        <w:rPr>
                                          <w:sz w:val="14"/>
                                          <w:szCs w:val="14"/>
                                        </w:rPr>
                                        <w:t>Ú</w:t>
                                      </w:r>
                                      <w:r w:rsidDel="00000000" w:rsidR="00000000" w:rsidRPr="00E76C12">
                                        <w:rPr>
                                          <w:sz w:val="14"/>
                                          <w:szCs w:val="14"/>
                                        </w:rPr>
                                        <w:t>BLICA</w:t>
                                      </w:r>
                                      <w:r w:rsidDel="00000000" w:rsidR="00000000" w:rsidRPr="00000000">
                                        <w:rPr>
                                          <w:sz w:val="14"/>
                                          <w:szCs w:val="14"/>
                                        </w:rPr>
                                        <w:t>, CALIDAD E INNOVACIÓN</w:t>
                                      </w:r>
                                    </w:p>
                                    <w:p w:rsidR="00D602D4" w:rsidDel="00000000" w:rsidP="00771F83" w:rsidRDefault="00D602D4" w:rsidRPr="002D208D">
                                      <w:pPr>
                                        <w:rPr>
                                          <w:szCs w:val="14"/>
                                        </w:rPr>
                                      </w:pP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-30479</wp:posOffset>
                          </wp:positionH>
                          <wp:positionV relativeFrom="paragraph">
                            <wp:posOffset>-16509</wp:posOffset>
                          </wp:positionV>
                          <wp:extent cx="1466850" cy="409575"/>
                          <wp:effectExtent b="0" l="0" r="0" t="0"/>
                          <wp:wrapNone/>
                          <wp:docPr id="3"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466850" cy="4095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1883410</wp:posOffset>
                      </wp:positionH>
                      <wp:positionV relativeFrom="paragraph">
                        <wp:posOffset>-172084</wp:posOffset>
                      </wp:positionV>
                      <wp:extent cx="1550035" cy="930275"/>
                      <wp:effectExtent b="0" l="0" r="0" t="0"/>
                      <wp:wrapSquare wrapText="bothSides" distB="0" distT="0" distL="114300" distR="114300"/>
                      <wp:docPr descr="Imagen relacionada" id="6" name="image1.png"/>
                      <a:graphic>
                        <a:graphicData uri="http://schemas.openxmlformats.org/drawingml/2006/picture">
                          <pic:pic>
                            <pic:nvPicPr>
                              <pic:cNvPr descr="Imagen relacionada" id="0" name="image1.png"/>
                              <pic:cNvPicPr preferRelativeResize="0"/>
                            </pic:nvPicPr>
                            <pic:blipFill>
                              <a:blip r:embed="rId3"/>
                              <a:srcRect b="0" l="0" r="0" t="0"/>
                              <a:stretch>
                                <a:fillRect/>
                              </a:stretch>
                            </pic:blipFill>
                            <pic:spPr>
                              <a:xfrm>
                                <a:off x="0" y="0"/>
                                <a:ext cx="1550035" cy="930275"/>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-30479</wp:posOffset>
                          </wp:positionH>
                          <wp:positionV relativeFrom="paragraph">
                            <wp:posOffset>382270</wp:posOffset>
                          </wp:positionV>
                          <wp:extent cx="1452880" cy="441960"/>
                          <wp:effectExtent b="11430" l="7620" r="6350" t="13335"/>
                          <wp:wrapNone/>
                          <wp:docPr id="4" name=""/>
                          <a:graphic>
                            <a:graphicData uri="http://schemas.microsoft.com/office/word/2010/wordprocessingShape">
                              <wps:wsp>
                                <wps:cNvSpPr txBox="1">
                                  <a:spLocks noChangeArrowheads="1"/>
                                </wps:cNvSpPr>
                                <wps:spPr bwMode="auto">
                                  <a:xfrm>
                                    <a:off x="0" y="0"/>
                                    <a:ext cx="1452880" cy="441960"/>
                                  </a:xfrm>
                                  <a:prstGeom prst="rect">
                                    <a:avLst/>
                                  </a:prstGeom>
                                  <a:pattFill prst="smConfetti">
                                    <a:fgClr>
                                      <a:srgbClr val="C0C0C0"/>
                                    </a:fgClr>
                                    <a:bgClr>
                                      <a:srgbClr val="FFFFFF"/>
                                    </a:bgClr>
                                  </a:pattFill>
                                  <a:ln w="9525">
                                    <a:solidFill>
                                      <a:srgbClr val="000000"/>
                                    </a:solidFill>
                                    <a:miter lim="800000"/>
                                    <a:headEnd/>
                                    <a:tailEnd/>
                                  </a:ln>
                                </wps:spPr>
                                <wps:txbx>
                                  <w:txbxContent>
                                    <w:p w:rsidR="00D602D4" w:rsidDel="00000000" w:rsidP="00771F83" w:rsidRDefault="00D602D4" w:rsidRPr="00F6488E">
                                      <w:pPr>
                                        <w:rPr>
                                          <w:sz w:val="16"/>
                                          <w:szCs w:val="16"/>
                                        </w:rPr>
                                      </w:pPr>
                                      <w:r w:rsidDel="00000000" w:rsidR="00000000" w:rsidRPr="00F6488E">
                                        <w:rPr>
                                          <w:sz w:val="16"/>
                                          <w:szCs w:val="16"/>
                                        </w:rPr>
                                        <w:t>Centro de Coordinación de Alertas y Emergencias Sanitarias</w:t>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-30479</wp:posOffset>
                          </wp:positionH>
                          <wp:positionV relativeFrom="paragraph">
                            <wp:posOffset>382270</wp:posOffset>
                          </wp:positionV>
                          <wp:extent cx="1466850" cy="466725"/>
                          <wp:effectExtent b="0" l="0" r="0" t="0"/>
                          <wp:wrapNone/>
                          <wp:docPr id="4" name="image8.png"/>
                          <a:graphic>
                            <a:graphicData uri="http://schemas.openxmlformats.org/drawingml/2006/picture">
                              <pic:pic>
                                <pic:nvPicPr>
                                  <pic:cNvPr id="0" name="image8.png"/>
                                  <pic:cNvPicPr preferRelativeResize="0"/>
                                </pic:nvPicPr>
                                <pic:blipFill>
                                  <a:blip r:embed="rId4"/>
                                  <a:srcRect b="0" l="0" r="0" t="0"/>
                                  <a:stretch>
                                    <a:fillRect/>
                                  </a:stretch>
                                </pic:blipFill>
                                <pic:spPr>
                                  <a:xfrm>
                                    <a:off x="0" y="0"/>
                                    <a:ext cx="1466850" cy="466725"/>
                                  </a:xfrm>
                                  <a:prstGeom prst="rect"/>
                                  <a:ln/>
                                </pic:spPr>
                              </pic:pic>
                            </a:graphicData>
                          </a:graphic>
                        </wp:anchor>
                      </w:drawing>
                    </mc:Fallback>
                  </mc:AlternateContent>
                </w:r>
              </w:p>
            </w:tc>
            <w:tc>
              <w:tcPr>
                <w:shd w:fill="auto" w:val="clear"/>
              </w:tcPr>
              <w:p w:rsidR="00000000" w:rsidDel="00000000" w:rsidP="00000000" w:rsidRDefault="00000000" w:rsidRPr="00000000" w14:paraId="0000012E">
                <w:pPr>
                  <w:tabs>
                    <w:tab w:val="left" w:pos="6390"/>
                  </w:tabs>
                  <w:spacing w:after="120" w:lineRule="auto"/>
                  <w:ind w:left="269" w:right="1"/>
                  <w:jc w:val="both"/>
                  <w:rPr>
                    <w:b w:val="1"/>
                    <w:i w:val="1"/>
                    <w:color w:val="ff0000"/>
                  </w:rPr>
                </w:pPr>
                <w:r w:rsidDel="00000000" w:rsidR="00000000" w:rsidRPr="00000000">
                  <w:rPr>
                    <w:b w:val="1"/>
                    <w:i w:val="1"/>
                    <w:color w:val="ff0000"/>
                    <w:rtl w:val="0"/>
                  </w:rPr>
                  <w:t xml:space="preserve">                                                                                                                </w:t>
                </w:r>
              </w:p>
              <w:p w:rsidR="00000000" w:rsidDel="00000000" w:rsidP="00000000" w:rsidRDefault="00000000" w:rsidRPr="00000000" w14:paraId="0000012F">
                <w:pPr>
                  <w:tabs>
                    <w:tab w:val="left" w:pos="6390"/>
                  </w:tabs>
                  <w:spacing w:after="120" w:lineRule="auto"/>
                  <w:ind w:left="269" w:right="1" w:hanging="567"/>
                  <w:jc w:val="both"/>
                  <w:rPr>
                    <w:b w:val="1"/>
                    <w:i w:val="1"/>
                    <w:color w:val="ff0000"/>
                    <w:sz w:val="20"/>
                    <w:szCs w:val="20"/>
                  </w:rPr>
                </w:pPr>
                <w:r w:rsidDel="00000000" w:rsidR="00000000" w:rsidRPr="00000000">
                  <w:rPr>
                    <w:rtl w:val="0"/>
                  </w:rPr>
                </w:r>
              </w:p>
            </w:tc>
          </w:tr>
        </w:tbl>
        <w:p w:rsidR="00000000" w:rsidDel="00000000" w:rsidP="00000000" w:rsidRDefault="00000000" w:rsidRPr="00000000" w14:paraId="00000130">
          <w:pPr>
            <w:tabs>
              <w:tab w:val="left" w:pos="6390"/>
            </w:tabs>
            <w:spacing w:after="120" w:lineRule="auto"/>
            <w:ind w:right="1"/>
            <w:jc w:val="both"/>
            <w:rPr>
              <w:b w:val="1"/>
              <w:i w:val="1"/>
              <w:color w:val="ff0000"/>
              <w:sz w:val="20"/>
              <w:szCs w:val="20"/>
            </w:rPr>
          </w:pPr>
          <w:r w:rsidDel="00000000" w:rsidR="00000000" w:rsidRPr="00000000">
            <w:rPr>
              <w:rtl w:val="0"/>
            </w:rPr>
          </w:r>
        </w:p>
      </w:tc>
      <w:tc>
        <w:tcPr>
          <w:shd w:fill="auto" w:val="clear"/>
        </w:tcPr>
        <w:p w:rsidR="00000000" w:rsidDel="00000000" w:rsidP="00000000" w:rsidRDefault="00000000" w:rsidRPr="00000000" w14:paraId="00000131">
          <w:pPr>
            <w:tabs>
              <w:tab w:val="left" w:pos="6390"/>
            </w:tabs>
            <w:spacing w:after="120" w:lineRule="auto"/>
            <w:ind w:right="1"/>
            <w:jc w:val="both"/>
            <w:rPr>
              <w:b w:val="1"/>
              <w:i w:val="1"/>
              <w:color w:val="ff0000"/>
              <w:sz w:val="20"/>
              <w:szCs w:val="20"/>
            </w:rPr>
          </w:pPr>
          <w:r w:rsidDel="00000000" w:rsidR="00000000" w:rsidRPr="00000000">
            <w:rPr>
              <w:rtl w:val="0"/>
            </w:rPr>
          </w:r>
        </w:p>
      </w:tc>
      <w:tc>
        <w:tcPr>
          <w:shd w:fill="auto" w:val="clear"/>
        </w:tcPr>
        <w:p w:rsidR="00000000" w:rsidDel="00000000" w:rsidP="00000000" w:rsidRDefault="00000000" w:rsidRPr="00000000" w14:paraId="00000132">
          <w:pPr>
            <w:tabs>
              <w:tab w:val="left" w:pos="6390"/>
            </w:tabs>
            <w:spacing w:after="120" w:lineRule="auto"/>
            <w:ind w:right="1"/>
            <w:jc w:val="both"/>
            <w:rPr>
              <w:b w:val="1"/>
              <w:i w:val="1"/>
              <w:color w:val="ff0000"/>
              <w:sz w:val="20"/>
              <w:szCs w:val="20"/>
            </w:rPr>
          </w:pPr>
          <w:r w:rsidDel="00000000" w:rsidR="00000000" w:rsidRPr="00000000">
            <w:rPr>
              <w:rtl w:val="0"/>
            </w:rPr>
          </w:r>
        </w:p>
      </w:tc>
    </w:tr>
  </w:tbl>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8755.0" w:type="dxa"/>
      <w:jc w:val="left"/>
      <w:tblInd w:w="108.0" w:type="dxa"/>
      <w:tblLayout w:type="fixed"/>
      <w:tblLook w:val="0000"/>
    </w:tblPr>
    <w:tblGrid>
      <w:gridCol w:w="8313"/>
      <w:gridCol w:w="221"/>
      <w:gridCol w:w="221"/>
      <w:tblGridChange w:id="0">
        <w:tblGrid>
          <w:gridCol w:w="8313"/>
          <w:gridCol w:w="221"/>
          <w:gridCol w:w="221"/>
        </w:tblGrid>
      </w:tblGridChange>
    </w:tblGrid>
    <w:tr>
      <w:trPr>
        <w:trHeight w:val="1258" w:hRule="atLeast"/>
      </w:trPr>
      <w:tc>
        <w:tcPr>
          <w:shd w:fill="auto" w:val="clear"/>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10426.0" w:type="dxa"/>
            <w:jc w:val="left"/>
            <w:tblLayout w:type="fixed"/>
            <w:tblLook w:val="0000"/>
          </w:tblPr>
          <w:tblGrid>
            <w:gridCol w:w="3699"/>
            <w:gridCol w:w="5373"/>
            <w:gridCol w:w="1354"/>
            <w:tblGridChange w:id="0">
              <w:tblGrid>
                <w:gridCol w:w="3699"/>
                <w:gridCol w:w="5373"/>
                <w:gridCol w:w="1354"/>
              </w:tblGrid>
            </w:tblGridChange>
          </w:tblGrid>
          <w:tr>
            <w:trPr>
              <w:trHeight w:val="1258" w:hRule="atLeast"/>
            </w:trPr>
            <w:tc>
              <w:tcPr>
                <w:shd w:fill="auto" w:val="clear"/>
              </w:tcPr>
              <w:p w:rsidR="00000000" w:rsidDel="00000000" w:rsidP="00000000" w:rsidRDefault="00000000" w:rsidRPr="00000000" w14:paraId="00000136">
                <w:pPr>
                  <w:tabs>
                    <w:tab w:val="left" w:pos="6390"/>
                  </w:tabs>
                  <w:spacing w:after="120" w:lineRule="auto"/>
                  <w:ind w:left="-392" w:right="1" w:firstLine="392"/>
                  <w:jc w:val="both"/>
                  <w:rPr>
                    <w:b w:val="1"/>
                    <w:i w:val="1"/>
                    <w:color w:val="ff0000"/>
                    <w:sz w:val="20"/>
                    <w:szCs w:val="20"/>
                  </w:rPr>
                </w:pPr>
                <w:r w:rsidDel="00000000" w:rsidR="00000000" w:rsidRPr="00000000">
                  <w:rPr>
                    <w:b w:val="1"/>
                    <w:i w:val="1"/>
                    <w:color w:val="ff0000"/>
                    <w:sz w:val="20"/>
                    <w:szCs w:val="20"/>
                  </w:rPr>
                  <w:drawing>
                    <wp:inline distB="0" distT="0" distL="0" distR="0">
                      <wp:extent cx="2426335" cy="788035"/>
                      <wp:effectExtent b="0" l="0" r="0" t="0"/>
                      <wp:docPr id="10"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2426335" cy="788035"/>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137">
                <w:pPr>
                  <w:tabs>
                    <w:tab w:val="left" w:pos="3030"/>
                    <w:tab w:val="left" w:pos="6390"/>
                  </w:tabs>
                  <w:spacing w:after="120" w:lineRule="auto"/>
                  <w:ind w:right="1"/>
                  <w:jc w:val="both"/>
                  <w:rPr>
                    <w:b w:val="1"/>
                    <w:i w:val="1"/>
                    <w:color w:val="ff0000"/>
                    <w:sz w:val="20"/>
                    <w:szCs w:val="2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-30479</wp:posOffset>
                          </wp:positionH>
                          <wp:positionV relativeFrom="paragraph">
                            <wp:posOffset>-16509</wp:posOffset>
                          </wp:positionV>
                          <wp:extent cx="1452880" cy="398780"/>
                          <wp:effectExtent b="5715" l="7620" r="6350" t="5080"/>
                          <wp:wrapNone/>
                          <wp:docPr id="2" name=""/>
                          <a:graphic>
                            <a:graphicData uri="http://schemas.microsoft.com/office/word/2010/wordprocessingShape">
                              <wps:wsp>
                                <wps:cNvSpPr txBox="1">
                                  <a:spLocks noChangeArrowheads="1"/>
                                </wps:cNvSpPr>
                                <wps:spPr bwMode="auto">
                                  <a:xfrm>
                                    <a:off x="0" y="0"/>
                                    <a:ext cx="1452880" cy="398780"/>
                                  </a:xfrm>
                                  <a:prstGeom prst="rect">
                                    <a:avLst/>
                                  </a:prstGeom>
                                  <a:pattFill prst="smConfetti">
                                    <a:fgClr>
                                      <a:srgbClr val="C0C0C0"/>
                                    </a:fgClr>
                                    <a:bgClr>
                                      <a:srgbClr val="FFFFFF"/>
                                    </a:bgClr>
                                  </a:pattFill>
                                  <a:ln w="9525">
                                    <a:solidFill>
                                      <a:srgbClr val="000000"/>
                                    </a:solidFill>
                                    <a:miter lim="800000"/>
                                    <a:headEnd/>
                                    <a:tailEnd/>
                                  </a:ln>
                                </wps:spPr>
                                <wps:txbx>
                                  <w:txbxContent>
                                    <w:p w:rsidR="00D602D4" w:rsidDel="00000000" w:rsidP="00290431" w:rsidRDefault="00D602D4" w:rsidRPr="00E76C12">
                                      <w:pPr>
                                        <w:rPr>
                                          <w:sz w:val="14"/>
                                          <w:szCs w:val="14"/>
                                        </w:rPr>
                                      </w:pPr>
                                      <w:r w:rsidDel="00000000" w:rsidR="00000000" w:rsidRPr="00E76C12">
                                        <w:rPr>
                                          <w:sz w:val="14"/>
                                          <w:szCs w:val="14"/>
                                        </w:rPr>
                                        <w:t xml:space="preserve">DIRECCIÓN GENERAL </w:t>
                                      </w:r>
                                      <w:proofErr w:type="gramStart"/>
                                      <w:r w:rsidDel="00000000" w:rsidR="00000000" w:rsidRPr="00E76C12">
                                        <w:rPr>
                                          <w:sz w:val="14"/>
                                          <w:szCs w:val="14"/>
                                        </w:rPr>
                                        <w:t>DE  SALUD</w:t>
                                      </w:r>
                                      <w:proofErr w:type="gramEnd"/>
                                      <w:r w:rsidDel="00000000" w:rsidR="00000000" w:rsidRPr="00E76C12">
                                        <w:rPr>
                                          <w:sz w:val="14"/>
                                          <w:szCs w:val="14"/>
                                        </w:rPr>
                                        <w:t xml:space="preserve"> P</w:t>
                                      </w:r>
                                      <w:r w:rsidDel="00000000" w:rsidR="00000000" w:rsidRPr="00000000">
                                        <w:rPr>
                                          <w:sz w:val="14"/>
                                          <w:szCs w:val="14"/>
                                        </w:rPr>
                                        <w:t>Ú</w:t>
                                      </w:r>
                                      <w:r w:rsidDel="00000000" w:rsidR="00000000" w:rsidRPr="00E76C12">
                                        <w:rPr>
                                          <w:sz w:val="14"/>
                                          <w:szCs w:val="14"/>
                                        </w:rPr>
                                        <w:t>BLICA</w:t>
                                      </w:r>
                                      <w:r w:rsidDel="00000000" w:rsidR="00000000" w:rsidRPr="00000000">
                                        <w:rPr>
                                          <w:sz w:val="14"/>
                                          <w:szCs w:val="14"/>
                                        </w:rPr>
                                        <w:t>, CALIDAD E INNOVACIÓN</w:t>
                                      </w:r>
                                    </w:p>
                                    <w:p w:rsidR="00D602D4" w:rsidDel="00000000" w:rsidP="00290431" w:rsidRDefault="00D602D4" w:rsidRPr="002D208D">
                                      <w:pPr>
                                        <w:rPr>
                                          <w:szCs w:val="14"/>
                                        </w:rPr>
                                      </w:pP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-30479</wp:posOffset>
                          </wp:positionH>
                          <wp:positionV relativeFrom="paragraph">
                            <wp:posOffset>-16509</wp:posOffset>
                          </wp:positionV>
                          <wp:extent cx="1466850" cy="409575"/>
                          <wp:effectExtent b="0" l="0" r="0" t="0"/>
                          <wp:wrapNone/>
                          <wp:docPr id="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466850" cy="4095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1883410</wp:posOffset>
                      </wp:positionH>
                      <wp:positionV relativeFrom="paragraph">
                        <wp:posOffset>-172084</wp:posOffset>
                      </wp:positionV>
                      <wp:extent cx="1550035" cy="930275"/>
                      <wp:effectExtent b="0" l="0" r="0" t="0"/>
                      <wp:wrapSquare wrapText="bothSides" distB="0" distT="0" distL="114300" distR="114300"/>
                      <wp:docPr descr="Imagen relacionada" id="5" name="image1.png"/>
                      <a:graphic>
                        <a:graphicData uri="http://schemas.openxmlformats.org/drawingml/2006/picture">
                          <pic:pic>
                            <pic:nvPicPr>
                              <pic:cNvPr descr="Imagen relacionada" id="0" name="image1.png"/>
                              <pic:cNvPicPr preferRelativeResize="0"/>
                            </pic:nvPicPr>
                            <pic:blipFill>
                              <a:blip r:embed="rId3"/>
                              <a:srcRect b="0" l="0" r="0" t="0"/>
                              <a:stretch>
                                <a:fillRect/>
                              </a:stretch>
                            </pic:blipFill>
                            <pic:spPr>
                              <a:xfrm>
                                <a:off x="0" y="0"/>
                                <a:ext cx="1550035" cy="930275"/>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-30479</wp:posOffset>
                          </wp:positionH>
                          <wp:positionV relativeFrom="paragraph">
                            <wp:posOffset>382270</wp:posOffset>
                          </wp:positionV>
                          <wp:extent cx="1452880" cy="441960"/>
                          <wp:effectExtent b="11430" l="7620" r="6350" t="13335"/>
                          <wp:wrapNone/>
                          <wp:docPr id="1" name=""/>
                          <a:graphic>
                            <a:graphicData uri="http://schemas.microsoft.com/office/word/2010/wordprocessingShape">
                              <wps:wsp>
                                <wps:cNvSpPr txBox="1">
                                  <a:spLocks noChangeArrowheads="1"/>
                                </wps:cNvSpPr>
                                <wps:spPr bwMode="auto">
                                  <a:xfrm>
                                    <a:off x="0" y="0"/>
                                    <a:ext cx="1452880" cy="441960"/>
                                  </a:xfrm>
                                  <a:prstGeom prst="rect">
                                    <a:avLst/>
                                  </a:prstGeom>
                                  <a:pattFill prst="smConfetti">
                                    <a:fgClr>
                                      <a:srgbClr val="C0C0C0"/>
                                    </a:fgClr>
                                    <a:bgClr>
                                      <a:srgbClr val="FFFFFF"/>
                                    </a:bgClr>
                                  </a:pattFill>
                                  <a:ln w="9525">
                                    <a:solidFill>
                                      <a:srgbClr val="000000"/>
                                    </a:solidFill>
                                    <a:miter lim="800000"/>
                                    <a:headEnd/>
                                    <a:tailEnd/>
                                  </a:ln>
                                </wps:spPr>
                                <wps:txbx>
                                  <w:txbxContent>
                                    <w:p w:rsidR="00D602D4" w:rsidDel="00000000" w:rsidP="00290431" w:rsidRDefault="00D602D4" w:rsidRPr="00F6488E">
                                      <w:pPr>
                                        <w:rPr>
                                          <w:sz w:val="16"/>
                                          <w:szCs w:val="16"/>
                                        </w:rPr>
                                      </w:pPr>
                                      <w:r w:rsidDel="00000000" w:rsidR="00000000" w:rsidRPr="00F6488E">
                                        <w:rPr>
                                          <w:sz w:val="16"/>
                                          <w:szCs w:val="16"/>
                                        </w:rPr>
                                        <w:t>Centro de Coordinación de Alertas y Emergencias Sanitarias</w:t>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-30479</wp:posOffset>
                          </wp:positionH>
                          <wp:positionV relativeFrom="paragraph">
                            <wp:posOffset>382270</wp:posOffset>
                          </wp:positionV>
                          <wp:extent cx="1466850" cy="466725"/>
                          <wp:effectExtent b="0" l="0" r="0" t="0"/>
                          <wp:wrapNone/>
                          <wp:docPr id="1"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1466850" cy="466725"/>
                                  </a:xfrm>
                                  <a:prstGeom prst="rect"/>
                                  <a:ln/>
                                </pic:spPr>
                              </pic:pic>
                            </a:graphicData>
                          </a:graphic>
                        </wp:anchor>
                      </w:drawing>
                    </mc:Fallback>
                  </mc:AlternateContent>
                </w:r>
              </w:p>
            </w:tc>
            <w:tc>
              <w:tcPr>
                <w:shd w:fill="auto" w:val="clear"/>
              </w:tcPr>
              <w:p w:rsidR="00000000" w:rsidDel="00000000" w:rsidP="00000000" w:rsidRDefault="00000000" w:rsidRPr="00000000" w14:paraId="00000138">
                <w:pPr>
                  <w:tabs>
                    <w:tab w:val="left" w:pos="6390"/>
                  </w:tabs>
                  <w:spacing w:after="120" w:lineRule="auto"/>
                  <w:ind w:left="269" w:right="1"/>
                  <w:jc w:val="both"/>
                  <w:rPr>
                    <w:b w:val="1"/>
                    <w:i w:val="1"/>
                    <w:color w:val="ff0000"/>
                  </w:rPr>
                </w:pPr>
                <w:r w:rsidDel="00000000" w:rsidR="00000000" w:rsidRPr="00000000">
                  <w:rPr>
                    <w:b w:val="1"/>
                    <w:i w:val="1"/>
                    <w:color w:val="ff0000"/>
                    <w:rtl w:val="0"/>
                  </w:rPr>
                  <w:t xml:space="preserve">                                                                                                                </w:t>
                </w:r>
              </w:p>
              <w:p w:rsidR="00000000" w:rsidDel="00000000" w:rsidP="00000000" w:rsidRDefault="00000000" w:rsidRPr="00000000" w14:paraId="00000139">
                <w:pPr>
                  <w:tabs>
                    <w:tab w:val="left" w:pos="6390"/>
                  </w:tabs>
                  <w:spacing w:after="120" w:lineRule="auto"/>
                  <w:ind w:left="269" w:right="1" w:hanging="567"/>
                  <w:jc w:val="both"/>
                  <w:rPr>
                    <w:b w:val="1"/>
                    <w:i w:val="1"/>
                    <w:color w:val="ff0000"/>
                    <w:sz w:val="20"/>
                    <w:szCs w:val="20"/>
                  </w:rPr>
                </w:pPr>
                <w:r w:rsidDel="00000000" w:rsidR="00000000" w:rsidRPr="00000000">
                  <w:rPr>
                    <w:rtl w:val="0"/>
                  </w:rPr>
                </w:r>
              </w:p>
            </w:tc>
          </w:tr>
        </w:tbl>
        <w:p w:rsidR="00000000" w:rsidDel="00000000" w:rsidP="00000000" w:rsidRDefault="00000000" w:rsidRPr="00000000" w14:paraId="0000013A">
          <w:pPr>
            <w:tabs>
              <w:tab w:val="left" w:pos="6390"/>
            </w:tabs>
            <w:spacing w:after="120" w:lineRule="auto"/>
            <w:ind w:right="1"/>
            <w:jc w:val="both"/>
            <w:rPr>
              <w:b w:val="1"/>
              <w:i w:val="1"/>
              <w:color w:val="ff0000"/>
              <w:sz w:val="20"/>
              <w:szCs w:val="20"/>
            </w:rPr>
          </w:pPr>
          <w:r w:rsidDel="00000000" w:rsidR="00000000" w:rsidRPr="00000000">
            <w:rPr>
              <w:rtl w:val="0"/>
            </w:rPr>
          </w:r>
        </w:p>
      </w:tc>
      <w:tc>
        <w:tcPr>
          <w:shd w:fill="auto" w:val="clear"/>
        </w:tcPr>
        <w:p w:rsidR="00000000" w:rsidDel="00000000" w:rsidP="00000000" w:rsidRDefault="00000000" w:rsidRPr="00000000" w14:paraId="0000013B">
          <w:pPr>
            <w:tabs>
              <w:tab w:val="left" w:pos="6390"/>
            </w:tabs>
            <w:spacing w:after="120" w:lineRule="auto"/>
            <w:ind w:right="1"/>
            <w:jc w:val="both"/>
            <w:rPr>
              <w:b w:val="1"/>
              <w:i w:val="1"/>
              <w:color w:val="ff0000"/>
              <w:sz w:val="20"/>
              <w:szCs w:val="20"/>
            </w:rPr>
          </w:pPr>
          <w:r w:rsidDel="00000000" w:rsidR="00000000" w:rsidRPr="00000000">
            <w:rPr>
              <w:rtl w:val="0"/>
            </w:rPr>
          </w:r>
        </w:p>
      </w:tc>
      <w:tc>
        <w:tcPr>
          <w:shd w:fill="auto" w:val="clear"/>
        </w:tcPr>
        <w:p w:rsidR="00000000" w:rsidDel="00000000" w:rsidP="00000000" w:rsidRDefault="00000000" w:rsidRPr="00000000" w14:paraId="0000013C">
          <w:pPr>
            <w:tabs>
              <w:tab w:val="left" w:pos="6390"/>
            </w:tabs>
            <w:spacing w:after="120" w:lineRule="auto"/>
            <w:ind w:right="1"/>
            <w:jc w:val="both"/>
            <w:rPr>
              <w:b w:val="1"/>
              <w:i w:val="1"/>
              <w:color w:val="ff0000"/>
              <w:sz w:val="20"/>
              <w:szCs w:val="20"/>
            </w:rPr>
          </w:pPr>
          <w:r w:rsidDel="00000000" w:rsidR="00000000" w:rsidRPr="00000000">
            <w:rPr>
              <w:rtl w:val="0"/>
            </w:rPr>
          </w:r>
        </w:p>
      </w:tc>
    </w:tr>
  </w:tbl>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5"/>
      <w:numFmt w:val="bullet"/>
      <w:lvlText w:val="–"/>
      <w:lvlJc w:val="left"/>
      <w:pPr>
        <w:ind w:left="1785" w:hanging="705"/>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lowerLetter"/>
      <w:lvlText w:val="%1)"/>
      <w:lvlJc w:val="left"/>
      <w:pPr>
        <w:ind w:left="720" w:hanging="360"/>
      </w:pPr>
      <w:rPr/>
    </w:lvl>
    <w:lvl w:ilvl="1">
      <w:start w:val="1"/>
      <w:numFmt w:val="bullet"/>
      <w:lvlText w:val="-"/>
      <w:lvlJc w:val="left"/>
      <w:pPr>
        <w:ind w:left="1440" w:hanging="360"/>
      </w:pPr>
      <w:rPr>
        <w:rFonts w:ascii="Arial" w:cs="Arial" w:eastAsia="Arial" w:hAnsi="Arial"/>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Letter"/>
      <w:lvlText w:val="%1."/>
      <w:lvlJc w:val="left"/>
      <w:pPr>
        <w:ind w:left="360" w:hanging="360"/>
      </w:pPr>
      <w:rPr>
        <w:smallCaps w:val="1"/>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bullet"/>
      <w:lvlText w:val="-"/>
      <w:lvlJc w:val="left"/>
      <w:pPr>
        <w:ind w:left="720" w:hanging="360"/>
      </w:pPr>
      <w:rPr>
        <w:rFonts w:ascii="Comic Sans MS" w:cs="Comic Sans MS" w:eastAsia="Comic Sans MS" w:hAnsi="Comic Sans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1068" w:hanging="360"/>
      </w:pPr>
      <w:rPr>
        <w:rFonts w:ascii="Noto Sans Symbols" w:cs="Noto Sans Symbols" w:eastAsia="Noto Sans Symbols" w:hAnsi="Noto Sans Symbols"/>
      </w:rPr>
    </w:lvl>
    <w:lvl w:ilvl="1">
      <w:start w:val="1"/>
      <w:numFmt w:val="decimal"/>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decimal"/>
      <w:lvlText w:val="%1."/>
      <w:lvlJc w:val="left"/>
      <w:pPr>
        <w:ind w:left="720" w:hanging="360"/>
      </w:pPr>
      <w:rPr>
        <w:rFonts w:ascii="Arial" w:cs="Arial" w:eastAsia="Arial" w:hAnsi="Arial"/>
        <w:b w:val="1"/>
        <w:i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6">
    <w:lvl w:ilvl="0">
      <w:start w:val="1"/>
      <w:numFmt w:val="decimal"/>
      <w:lvlText w:val="%1."/>
      <w:lvlJc w:val="left"/>
      <w:pPr>
        <w:ind w:left="1428" w:hanging="360"/>
      </w:pPr>
      <w:rPr/>
    </w:lvl>
    <w:lvl w:ilvl="1">
      <w:start w:val="1"/>
      <w:numFmt w:val="lowerLetter"/>
      <w:lvlText w:val="%2."/>
      <w:lvlJc w:val="left"/>
      <w:pPr>
        <w:ind w:left="2148" w:hanging="360"/>
      </w:pPr>
      <w:rPr/>
    </w:lvl>
    <w:lvl w:ilvl="2">
      <w:start w:val="1"/>
      <w:numFmt w:val="lowerRoman"/>
      <w:lvlText w:val="%3."/>
      <w:lvlJc w:val="right"/>
      <w:pPr>
        <w:ind w:left="2868" w:hanging="180"/>
      </w:pPr>
      <w:rPr/>
    </w:lvl>
    <w:lvl w:ilvl="3">
      <w:start w:val="1"/>
      <w:numFmt w:val="decimal"/>
      <w:lvlText w:val="%4."/>
      <w:lvlJc w:val="left"/>
      <w:pPr>
        <w:ind w:left="3588" w:hanging="360"/>
      </w:pPr>
      <w:rPr/>
    </w:lvl>
    <w:lvl w:ilvl="4">
      <w:start w:val="1"/>
      <w:numFmt w:val="lowerLetter"/>
      <w:lvlText w:val="%5."/>
      <w:lvlJc w:val="left"/>
      <w:pPr>
        <w:ind w:left="4308" w:hanging="360"/>
      </w:pPr>
      <w:rPr/>
    </w:lvl>
    <w:lvl w:ilvl="5">
      <w:start w:val="1"/>
      <w:numFmt w:val="lowerRoman"/>
      <w:lvlText w:val="%6."/>
      <w:lvlJc w:val="right"/>
      <w:pPr>
        <w:ind w:left="5028" w:hanging="180"/>
      </w:pPr>
      <w:rPr/>
    </w:lvl>
    <w:lvl w:ilvl="6">
      <w:start w:val="1"/>
      <w:numFmt w:val="decimal"/>
      <w:lvlText w:val="%7."/>
      <w:lvlJc w:val="left"/>
      <w:pPr>
        <w:ind w:left="5748" w:hanging="360"/>
      </w:pPr>
      <w:rPr/>
    </w:lvl>
    <w:lvl w:ilvl="7">
      <w:start w:val="1"/>
      <w:numFmt w:val="lowerLetter"/>
      <w:lvlText w:val="%8."/>
      <w:lvlJc w:val="left"/>
      <w:pPr>
        <w:ind w:left="6468" w:hanging="360"/>
      </w:pPr>
      <w:rPr/>
    </w:lvl>
    <w:lvl w:ilvl="8">
      <w:start w:val="1"/>
      <w:numFmt w:val="lowerRoman"/>
      <w:lvlText w:val="%9."/>
      <w:lvlJc w:val="right"/>
      <w:pPr>
        <w:ind w:left="7188" w:hanging="180"/>
      </w:pPr>
      <w:rPr/>
    </w:lvl>
  </w:abstractNum>
  <w:abstractNum w:abstractNumId="17">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
      <w:lvlJc w:val="left"/>
      <w:pPr>
        <w:ind w:left="1788" w:hanging="360"/>
      </w:pPr>
      <w:rPr>
        <w:rFonts w:ascii="Arial" w:cs="Arial" w:eastAsia="Arial" w:hAnsi="Arial"/>
        <w:color w:val="000000"/>
      </w:rPr>
    </w:lvl>
    <w:lvl w:ilvl="2">
      <w:start w:val="1"/>
      <w:numFmt w:val="bullet"/>
      <w:lvlText w:val="●"/>
      <w:lvlJc w:val="left"/>
      <w:pPr>
        <w:ind w:left="2508" w:hanging="180"/>
      </w:pPr>
      <w:rPr>
        <w:rFonts w:ascii="Noto Sans Symbols" w:cs="Noto Sans Symbols" w:eastAsia="Noto Sans Symbols" w:hAnsi="Noto Sans Symbols"/>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18">
    <w:lvl w:ilvl="0">
      <w:start w:val="1"/>
      <w:numFmt w:val="decimal"/>
      <w:lvlText w:val="%1."/>
      <w:lvlJc w:val="left"/>
      <w:pPr>
        <w:ind w:left="360"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720"/>
      </w:tabs>
      <w:jc w:val="both"/>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unece.org/index.php?id=50858&amp;no_cache=1" TargetMode="External"/><Relationship Id="rId22" Type="http://schemas.openxmlformats.org/officeDocument/2006/relationships/hyperlink" Target="https://www.ecdc.europa.eu/sites/default/files/documents/nove-coronavirus-infection-prevention-control-patients-healthcare-settings.pdf" TargetMode="External"/><Relationship Id="rId21" Type="http://schemas.openxmlformats.org/officeDocument/2006/relationships/hyperlink" Target="https://www.iata.org/en/programs/cargo/dgr/" TargetMode="External"/><Relationship Id="rId24" Type="http://schemas.openxmlformats.org/officeDocument/2006/relationships/hyperlink" Target="https://www.cdc.gov/coronavirus/2019-nCoV/lab/lab-biosafety-guidelines.html" TargetMode="External"/><Relationship Id="rId23" Type="http://schemas.openxmlformats.org/officeDocument/2006/relationships/hyperlink" Target="https://www.who.int/csr/disease/coronavirus_infections/Biosafety_InterimRecommendations_NovelCoronavirus_19Feb13.pdf?ua=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infectioncontrol/pdf/guidelines/isolation-guidelines-H.pdf" TargetMode="External"/><Relationship Id="rId26" Type="http://schemas.openxmlformats.org/officeDocument/2006/relationships/hyperlink" Target="https://www.boe.es/eli/es/rd/1997/05/12/664/con" TargetMode="External"/><Relationship Id="rId25" Type="http://schemas.openxmlformats.org/officeDocument/2006/relationships/hyperlink" Target="https://www.mitma.gob.es/transporte-terrestre/mercancias-peligrosas-y-perecederas/adr2019" TargetMode="External"/><Relationship Id="rId28" Type="http://schemas.openxmlformats.org/officeDocument/2006/relationships/header" Target="header1.xml"/><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thelancet.com/journals/lancet/article/PIIS0140-6736(20)30360-3/abstract" TargetMode="External"/><Relationship Id="rId29" Type="http://schemas.openxmlformats.org/officeDocument/2006/relationships/footer" Target="footer1.xml"/><Relationship Id="rId7" Type="http://schemas.openxmlformats.org/officeDocument/2006/relationships/hyperlink" Target="https://doi.org/10.1056/NEJMoa2001191" TargetMode="External"/><Relationship Id="rId8" Type="http://schemas.openxmlformats.org/officeDocument/2006/relationships/hyperlink" Target="https://www.ncbi.nlm.nih.gov/pmc/articles/PMC539564/" TargetMode="External"/><Relationship Id="rId30" Type="http://schemas.openxmlformats.org/officeDocument/2006/relationships/footer" Target="footer2.xml"/><Relationship Id="rId11" Type="http://schemas.openxmlformats.org/officeDocument/2006/relationships/hyperlink" Target="https://www.who.int/publications-detail/laboratory-testing-for-2019-novel-coronavirus-in-suspected-human-cases-20200117" TargetMode="External"/><Relationship Id="rId10" Type="http://schemas.openxmlformats.org/officeDocument/2006/relationships/hyperlink" Target="https://www.who.int/publications-detail/global-surveillance-for-human-infection-with-novel-coronavirus-(2019-ncov)" TargetMode="External"/><Relationship Id="rId13" Type="http://schemas.openxmlformats.org/officeDocument/2006/relationships/hyperlink" Target="https://www.who.int/internal-publications-detail/home-care-for-patients-with-suspected-novel-coronavirus-(nCoV)-infection-presenting-with-mild-symptoms-and-management-of-contacts" TargetMode="External"/><Relationship Id="rId12" Type="http://schemas.openxmlformats.org/officeDocument/2006/relationships/hyperlink" Target="https://apps.who.int/iris/bitstream/handle/10665/330375/WHO-2019-nCoV-IPC-v2020.1-eng.pdf" TargetMode="External"/><Relationship Id="rId15" Type="http://schemas.openxmlformats.org/officeDocument/2006/relationships/hyperlink" Target="https://apps.who.int/iris/bitstream/handle/10665/331305/WHO-2019-NcOV-IPC_WASH-2020.1-eng.pdf?sequence=1&amp;isAllowed=y" TargetMode="External"/><Relationship Id="rId14"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17" Type="http://schemas.openxmlformats.org/officeDocument/2006/relationships/image" Target="media/image7.png"/><Relationship Id="rId16" Type="http://schemas.openxmlformats.org/officeDocument/2006/relationships/image" Target="media/image5.png"/><Relationship Id="rId19" Type="http://schemas.openxmlformats.org/officeDocument/2006/relationships/hyperlink" Target="http://www.safetyway.es/images/PDF/P650_adr.pdf" TargetMode="External"/><Relationship Id="rId18" Type="http://schemas.openxmlformats.org/officeDocument/2006/relationships/hyperlink" Target="https://www.cdc.gov/labs/BMBL.html?CDC_AA_refVal=https%3A%2F%2Fwww.cdc.gov%2Fbiosafety%2Fpublications%2Fbmbl5%2F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4.png"/><Relationship Id="rId3" Type="http://schemas.openxmlformats.org/officeDocument/2006/relationships/image" Target="media/image1.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3.png"/><Relationship Id="rId3"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